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sz w:val="36"/>
          <w:szCs w:val="36"/>
        </w:rPr>
      </w:pPr>
    </w:p>
    <w:p>
      <w:pPr>
        <w:rPr>
          <w:rFonts w:eastAsia="仿宋_GB2312"/>
          <w:sz w:val="36"/>
          <w:szCs w:val="36"/>
        </w:rPr>
      </w:pPr>
    </w:p>
    <w:p>
      <w:pPr>
        <w:rPr>
          <w:rFonts w:eastAsia="仿宋_GB2312"/>
          <w:sz w:val="36"/>
          <w:szCs w:val="36"/>
        </w:rPr>
      </w:pPr>
    </w:p>
    <w:p>
      <w:pPr>
        <w:rPr>
          <w:rFonts w:eastAsia="仿宋_GB2312"/>
          <w:sz w:val="36"/>
          <w:szCs w:val="36"/>
        </w:rPr>
      </w:pPr>
    </w:p>
    <w:p>
      <w:pPr>
        <w:spacing w:line="360" w:lineRule="auto"/>
        <w:jc w:val="center"/>
        <w:rPr>
          <w:rFonts w:eastAsia="方正小标宋_GBK"/>
          <w:color w:val="000000" w:themeColor="text1"/>
          <w:sz w:val="72"/>
          <w:szCs w:val="72"/>
          <w14:textFill>
            <w14:solidFill>
              <w14:schemeClr w14:val="tx1"/>
            </w14:solidFill>
          </w14:textFill>
        </w:rPr>
      </w:pPr>
      <w:r>
        <w:rPr>
          <w:rFonts w:eastAsia="方正小标宋_GBK"/>
          <w:color w:val="000000" w:themeColor="text1"/>
          <w:sz w:val="72"/>
          <w:szCs w:val="72"/>
          <w14:textFill>
            <w14:solidFill>
              <w14:schemeClr w14:val="tx1"/>
            </w14:solidFill>
          </w14:textFill>
        </w:rPr>
        <w:t>建设项目环境影响报告表</w:t>
      </w:r>
    </w:p>
    <w:p>
      <w:pPr>
        <w:spacing w:line="360" w:lineRule="auto"/>
        <w:jc w:val="center"/>
        <w:rPr>
          <w:rFonts w:eastAsia="华文仿宋"/>
          <w:color w:val="000000" w:themeColor="text1"/>
          <w:sz w:val="48"/>
          <w:szCs w:val="48"/>
          <w14:textFill>
            <w14:solidFill>
              <w14:schemeClr w14:val="tx1"/>
            </w14:solidFill>
          </w14:textFill>
        </w:rPr>
      </w:pPr>
      <w:r>
        <w:rPr>
          <w:rFonts w:eastAsia="华文仿宋"/>
          <w:color w:val="000000" w:themeColor="text1"/>
          <w:sz w:val="48"/>
          <w:szCs w:val="48"/>
          <w14:textFill>
            <w14:solidFill>
              <w14:schemeClr w14:val="tx1"/>
            </w14:solidFill>
          </w14:textFill>
        </w:rPr>
        <w:t>（污染影响类）</w:t>
      </w:r>
    </w:p>
    <w:p>
      <w:pPr>
        <w:adjustRightInd w:val="0"/>
        <w:snapToGrid w:val="0"/>
        <w:spacing w:line="288" w:lineRule="auto"/>
        <w:jc w:val="center"/>
        <w:rPr>
          <w:rFonts w:eastAsia="华文仿宋"/>
          <w:color w:val="000000"/>
          <w:kern w:val="44"/>
          <w:sz w:val="44"/>
          <w:szCs w:val="44"/>
        </w:rPr>
      </w:pPr>
    </w:p>
    <w:p>
      <w:pPr>
        <w:jc w:val="center"/>
        <w:rPr>
          <w:rFonts w:eastAsia="仿宋"/>
          <w:sz w:val="52"/>
          <w:szCs w:val="52"/>
        </w:rPr>
      </w:pPr>
    </w:p>
    <w:p>
      <w:pPr>
        <w:rPr>
          <w:rFonts w:eastAsia="仿宋"/>
          <w:sz w:val="44"/>
          <w:szCs w:val="44"/>
        </w:rPr>
      </w:pPr>
    </w:p>
    <w:p>
      <w:pPr>
        <w:ind w:firstLine="1040"/>
        <w:rPr>
          <w:rFonts w:eastAsia="仿宋"/>
          <w:sz w:val="44"/>
          <w:szCs w:val="44"/>
        </w:rPr>
      </w:pPr>
    </w:p>
    <w:p>
      <w:pPr>
        <w:ind w:firstLine="1040"/>
        <w:rPr>
          <w:rFonts w:eastAsia="仿宋"/>
          <w:sz w:val="44"/>
          <w:szCs w:val="44"/>
        </w:rPr>
      </w:pPr>
    </w:p>
    <w:p>
      <w:pPr>
        <w:spacing w:line="360" w:lineRule="auto"/>
        <w:ind w:firstLine="720" w:firstLineChars="200"/>
        <w:rPr>
          <w:rFonts w:eastAsia="仿宋_GB2312"/>
          <w:sz w:val="36"/>
          <w:szCs w:val="36"/>
          <w:u w:val="single"/>
        </w:rPr>
      </w:pPr>
      <w:r>
        <w:rPr>
          <w:rFonts w:eastAsia="仿宋_GB2312"/>
          <w:sz w:val="36"/>
          <w:szCs w:val="36"/>
        </w:rPr>
        <w:t>项目名称：</w:t>
      </w:r>
      <w:r>
        <w:rPr>
          <w:rFonts w:eastAsia="仿宋_GB2312"/>
          <w:sz w:val="36"/>
          <w:szCs w:val="36"/>
          <w:u w:val="single"/>
        </w:rPr>
        <w:t xml:space="preserve">  白石镇鑫业砂石料加工场建设项目   </w:t>
      </w:r>
    </w:p>
    <w:p>
      <w:pPr>
        <w:spacing w:line="360" w:lineRule="auto"/>
        <w:ind w:firstLine="720" w:firstLineChars="200"/>
        <w:rPr>
          <w:rFonts w:eastAsia="仿宋_GB2312"/>
          <w:sz w:val="36"/>
          <w:szCs w:val="36"/>
          <w:u w:val="single"/>
        </w:rPr>
      </w:pPr>
      <w:r>
        <w:rPr>
          <w:rFonts w:eastAsia="仿宋_GB2312"/>
          <w:sz w:val="36"/>
          <w:szCs w:val="36"/>
        </w:rPr>
        <w:t>建设单位（盖章）：</w:t>
      </w:r>
      <w:r>
        <w:rPr>
          <w:rFonts w:eastAsia="仿宋_GB2312"/>
          <w:sz w:val="36"/>
          <w:szCs w:val="36"/>
          <w:u w:val="single"/>
        </w:rPr>
        <w:t xml:space="preserve">  云龙县鑫业商贸有限公司  </w:t>
      </w:r>
    </w:p>
    <w:p>
      <w:pPr>
        <w:spacing w:line="360" w:lineRule="auto"/>
        <w:ind w:firstLine="720" w:firstLineChars="200"/>
        <w:rPr>
          <w:rFonts w:eastAsia="仿宋_GB2312"/>
          <w:sz w:val="36"/>
          <w:szCs w:val="36"/>
          <w:u w:val="single"/>
        </w:rPr>
      </w:pPr>
      <w:r>
        <w:rPr>
          <w:rFonts w:eastAsia="仿宋_GB2312"/>
          <w:sz w:val="36"/>
          <w:szCs w:val="36"/>
        </w:rPr>
        <w:t>编制日期：</w:t>
      </w:r>
      <w:r>
        <w:rPr>
          <w:rFonts w:eastAsia="仿宋_GB2312"/>
          <w:sz w:val="36"/>
          <w:szCs w:val="36"/>
          <w:u w:val="single"/>
        </w:rPr>
        <w:t xml:space="preserve">           2021年1</w:t>
      </w:r>
      <w:r>
        <w:rPr>
          <w:rFonts w:hint="eastAsia" w:eastAsia="仿宋_GB2312"/>
          <w:sz w:val="36"/>
          <w:szCs w:val="36"/>
          <w:u w:val="single"/>
          <w:lang w:val="en-US" w:eastAsia="zh-CN"/>
        </w:rPr>
        <w:t>2</w:t>
      </w:r>
      <w:r>
        <w:rPr>
          <w:rFonts w:eastAsia="仿宋_GB2312"/>
          <w:sz w:val="36"/>
          <w:szCs w:val="36"/>
          <w:u w:val="single"/>
        </w:rPr>
        <w:t xml:space="preserve">月           </w:t>
      </w:r>
    </w:p>
    <w:p>
      <w:pPr>
        <w:adjustRightInd w:val="0"/>
        <w:snapToGrid w:val="0"/>
        <w:spacing w:line="288" w:lineRule="auto"/>
        <w:rPr>
          <w:rFonts w:eastAsia="仿宋_GB2312"/>
          <w:sz w:val="36"/>
          <w:szCs w:val="36"/>
        </w:rPr>
      </w:pPr>
      <w:bookmarkStart w:id="0" w:name="_Hlk57884087"/>
    </w:p>
    <w:p>
      <w:pPr>
        <w:adjustRightInd w:val="0"/>
        <w:snapToGrid w:val="0"/>
        <w:spacing w:line="288" w:lineRule="auto"/>
        <w:ind w:firstLine="1040"/>
        <w:rPr>
          <w:rFonts w:eastAsia="仿宋_GB2312"/>
          <w:sz w:val="36"/>
          <w:szCs w:val="36"/>
        </w:rPr>
      </w:pPr>
    </w:p>
    <w:p>
      <w:pPr>
        <w:adjustRightInd w:val="0"/>
        <w:snapToGrid w:val="0"/>
        <w:spacing w:line="288" w:lineRule="auto"/>
        <w:ind w:firstLine="1040"/>
        <w:rPr>
          <w:rFonts w:eastAsia="仿宋_GB2312"/>
          <w:sz w:val="36"/>
          <w:szCs w:val="36"/>
        </w:rPr>
      </w:pPr>
    </w:p>
    <w:p>
      <w:pPr>
        <w:pStyle w:val="6"/>
      </w:pPr>
    </w:p>
    <w:p/>
    <w:p>
      <w:pPr>
        <w:adjustRightInd w:val="0"/>
        <w:snapToGrid w:val="0"/>
        <w:spacing w:line="288" w:lineRule="auto"/>
        <w:rPr>
          <w:rFonts w:eastAsia="仿宋_GB2312"/>
          <w:sz w:val="36"/>
          <w:szCs w:val="36"/>
        </w:rPr>
      </w:pPr>
    </w:p>
    <w:bookmarkEnd w:id="0"/>
    <w:p>
      <w:pPr>
        <w:adjustRightInd w:val="0"/>
        <w:snapToGrid w:val="0"/>
        <w:spacing w:line="288" w:lineRule="auto"/>
        <w:jc w:val="center"/>
        <w:rPr>
          <w:rFonts w:eastAsia="楷体_GB2312"/>
          <w:sz w:val="36"/>
          <w:szCs w:val="36"/>
        </w:rPr>
        <w:sectPr>
          <w:footerReference r:id="rId3" w:type="default"/>
          <w:footerReference r:id="rId4" w:type="even"/>
          <w:pgSz w:w="11906" w:h="16838"/>
          <w:pgMar w:top="1134" w:right="1247" w:bottom="1134" w:left="1531" w:header="851" w:footer="1077" w:gutter="0"/>
          <w:pgNumType w:start="3"/>
          <w:cols w:space="720" w:num="1"/>
          <w:docGrid w:linePitch="312" w:charSpace="0"/>
        </w:sectPr>
      </w:pPr>
      <w:r>
        <w:rPr>
          <w:rFonts w:eastAsia="楷体_GB2312"/>
          <w:sz w:val="36"/>
          <w:szCs w:val="36"/>
        </w:rPr>
        <w:t>中华人民共和国生态环境部制</w:t>
      </w:r>
    </w:p>
    <w:p>
      <w:pPr>
        <w:spacing w:line="360" w:lineRule="auto"/>
        <w:jc w:val="center"/>
        <w:rPr>
          <w:b/>
          <w:sz w:val="32"/>
          <w:szCs w:val="32"/>
        </w:rPr>
      </w:pPr>
      <w:r>
        <w:rPr>
          <w:b/>
          <w:sz w:val="32"/>
          <w:szCs w:val="32"/>
        </w:rPr>
        <w:t>目录</w:t>
      </w:r>
    </w:p>
    <w:p>
      <w:pPr>
        <w:pStyle w:val="20"/>
        <w:tabs>
          <w:tab w:val="right" w:leader="dot" w:pos="9355"/>
        </w:tabs>
      </w:pPr>
      <w:r>
        <w:fldChar w:fldCharType="begin"/>
      </w:r>
      <w:r>
        <w:instrText xml:space="preserve">TOC \o "1-3" \h \u </w:instrText>
      </w:r>
      <w:r>
        <w:fldChar w:fldCharType="separate"/>
      </w:r>
    </w:p>
    <w:p>
      <w:pPr>
        <w:pStyle w:val="50"/>
        <w:tabs>
          <w:tab w:val="right" w:leader="dot" w:pos="9638"/>
        </w:tabs>
        <w:spacing w:line="360" w:lineRule="auto"/>
        <w:rPr>
          <w:snapToGrid w:val="0"/>
          <w:sz w:val="32"/>
          <w:szCs w:val="32"/>
        </w:rPr>
      </w:pPr>
      <w:r>
        <w:fldChar w:fldCharType="begin"/>
      </w:r>
      <w:r>
        <w:instrText xml:space="preserve"> HYPERLINK \l "_Toc32025" </w:instrText>
      </w:r>
      <w:r>
        <w:fldChar w:fldCharType="separate"/>
      </w:r>
      <w:r>
        <w:rPr>
          <w:snapToGrid w:val="0"/>
          <w:sz w:val="32"/>
          <w:szCs w:val="32"/>
        </w:rPr>
        <w:t>一、建设项目基本情况</w:t>
      </w:r>
      <w:r>
        <w:rPr>
          <w:snapToGrid w:val="0"/>
          <w:sz w:val="32"/>
          <w:szCs w:val="32"/>
        </w:rPr>
        <w:tab/>
      </w:r>
      <w:r>
        <w:rPr>
          <w:snapToGrid w:val="0"/>
          <w:sz w:val="32"/>
          <w:szCs w:val="32"/>
        </w:rPr>
        <w:fldChar w:fldCharType="begin"/>
      </w:r>
      <w:r>
        <w:rPr>
          <w:snapToGrid w:val="0"/>
          <w:sz w:val="32"/>
          <w:szCs w:val="32"/>
        </w:rPr>
        <w:instrText xml:space="preserve"> PAGEREF _Toc32025 \h </w:instrText>
      </w:r>
      <w:r>
        <w:rPr>
          <w:snapToGrid w:val="0"/>
          <w:sz w:val="32"/>
          <w:szCs w:val="32"/>
        </w:rPr>
        <w:fldChar w:fldCharType="separate"/>
      </w:r>
      <w:r>
        <w:rPr>
          <w:snapToGrid w:val="0"/>
          <w:sz w:val="32"/>
          <w:szCs w:val="32"/>
        </w:rPr>
        <w:t>- 1 -</w:t>
      </w:r>
      <w:r>
        <w:rPr>
          <w:snapToGrid w:val="0"/>
          <w:sz w:val="32"/>
          <w:szCs w:val="32"/>
        </w:rPr>
        <w:fldChar w:fldCharType="end"/>
      </w:r>
      <w:r>
        <w:rPr>
          <w:snapToGrid w:val="0"/>
          <w:sz w:val="32"/>
          <w:szCs w:val="32"/>
        </w:rPr>
        <w:fldChar w:fldCharType="end"/>
      </w:r>
    </w:p>
    <w:p>
      <w:pPr>
        <w:pStyle w:val="50"/>
        <w:tabs>
          <w:tab w:val="right" w:leader="dot" w:pos="9638"/>
        </w:tabs>
        <w:spacing w:line="360" w:lineRule="auto"/>
        <w:rPr>
          <w:snapToGrid w:val="0"/>
          <w:sz w:val="32"/>
          <w:szCs w:val="32"/>
        </w:rPr>
      </w:pPr>
      <w:r>
        <w:fldChar w:fldCharType="begin"/>
      </w:r>
      <w:r>
        <w:instrText xml:space="preserve"> HYPERLINK \l "_Toc31638" </w:instrText>
      </w:r>
      <w:r>
        <w:fldChar w:fldCharType="separate"/>
      </w:r>
      <w:r>
        <w:rPr>
          <w:snapToGrid w:val="0"/>
          <w:sz w:val="32"/>
          <w:szCs w:val="32"/>
        </w:rPr>
        <w:t>二、建设项目工程分析</w:t>
      </w:r>
      <w:r>
        <w:rPr>
          <w:snapToGrid w:val="0"/>
          <w:sz w:val="32"/>
          <w:szCs w:val="32"/>
        </w:rPr>
        <w:tab/>
      </w:r>
      <w:r>
        <w:rPr>
          <w:snapToGrid w:val="0"/>
          <w:sz w:val="32"/>
          <w:szCs w:val="32"/>
        </w:rPr>
        <w:fldChar w:fldCharType="begin"/>
      </w:r>
      <w:r>
        <w:rPr>
          <w:snapToGrid w:val="0"/>
          <w:sz w:val="32"/>
          <w:szCs w:val="32"/>
        </w:rPr>
        <w:instrText xml:space="preserve"> PAGEREF _Toc31638 \h </w:instrText>
      </w:r>
      <w:r>
        <w:rPr>
          <w:snapToGrid w:val="0"/>
          <w:sz w:val="32"/>
          <w:szCs w:val="32"/>
        </w:rPr>
        <w:fldChar w:fldCharType="separate"/>
      </w:r>
      <w:r>
        <w:rPr>
          <w:snapToGrid w:val="0"/>
          <w:sz w:val="32"/>
          <w:szCs w:val="32"/>
        </w:rPr>
        <w:t>- 5 -</w:t>
      </w:r>
      <w:r>
        <w:rPr>
          <w:snapToGrid w:val="0"/>
          <w:sz w:val="32"/>
          <w:szCs w:val="32"/>
        </w:rPr>
        <w:fldChar w:fldCharType="end"/>
      </w:r>
      <w:r>
        <w:rPr>
          <w:snapToGrid w:val="0"/>
          <w:sz w:val="32"/>
          <w:szCs w:val="32"/>
        </w:rPr>
        <w:fldChar w:fldCharType="end"/>
      </w:r>
    </w:p>
    <w:p>
      <w:pPr>
        <w:pStyle w:val="50"/>
        <w:tabs>
          <w:tab w:val="right" w:leader="dot" w:pos="9638"/>
        </w:tabs>
        <w:spacing w:line="360" w:lineRule="auto"/>
        <w:rPr>
          <w:snapToGrid w:val="0"/>
          <w:sz w:val="32"/>
          <w:szCs w:val="32"/>
        </w:rPr>
      </w:pPr>
      <w:r>
        <w:fldChar w:fldCharType="begin"/>
      </w:r>
      <w:r>
        <w:instrText xml:space="preserve"> HYPERLINK \l "_Toc3282" </w:instrText>
      </w:r>
      <w:r>
        <w:fldChar w:fldCharType="separate"/>
      </w:r>
      <w:r>
        <w:rPr>
          <w:snapToGrid w:val="0"/>
          <w:sz w:val="32"/>
          <w:szCs w:val="32"/>
        </w:rPr>
        <w:t>三、区域环境质量现状、环境保护目标及评价标准</w:t>
      </w:r>
      <w:r>
        <w:rPr>
          <w:snapToGrid w:val="0"/>
          <w:sz w:val="32"/>
          <w:szCs w:val="32"/>
        </w:rPr>
        <w:tab/>
      </w:r>
      <w:r>
        <w:rPr>
          <w:snapToGrid w:val="0"/>
          <w:sz w:val="32"/>
          <w:szCs w:val="32"/>
        </w:rPr>
        <w:fldChar w:fldCharType="begin"/>
      </w:r>
      <w:r>
        <w:rPr>
          <w:snapToGrid w:val="0"/>
          <w:sz w:val="32"/>
          <w:szCs w:val="32"/>
        </w:rPr>
        <w:instrText xml:space="preserve"> PAGEREF _Toc3282 \h </w:instrText>
      </w:r>
      <w:r>
        <w:rPr>
          <w:snapToGrid w:val="0"/>
          <w:sz w:val="32"/>
          <w:szCs w:val="32"/>
        </w:rPr>
        <w:fldChar w:fldCharType="separate"/>
      </w:r>
      <w:r>
        <w:rPr>
          <w:snapToGrid w:val="0"/>
          <w:sz w:val="32"/>
          <w:szCs w:val="32"/>
        </w:rPr>
        <w:t>- 14 -</w:t>
      </w:r>
      <w:r>
        <w:rPr>
          <w:snapToGrid w:val="0"/>
          <w:sz w:val="32"/>
          <w:szCs w:val="32"/>
        </w:rPr>
        <w:fldChar w:fldCharType="end"/>
      </w:r>
      <w:r>
        <w:rPr>
          <w:snapToGrid w:val="0"/>
          <w:sz w:val="32"/>
          <w:szCs w:val="32"/>
        </w:rPr>
        <w:fldChar w:fldCharType="end"/>
      </w:r>
    </w:p>
    <w:p>
      <w:pPr>
        <w:pStyle w:val="50"/>
        <w:tabs>
          <w:tab w:val="right" w:leader="dot" w:pos="9638"/>
        </w:tabs>
        <w:spacing w:line="360" w:lineRule="auto"/>
        <w:rPr>
          <w:snapToGrid w:val="0"/>
          <w:sz w:val="32"/>
          <w:szCs w:val="32"/>
        </w:rPr>
      </w:pPr>
      <w:r>
        <w:fldChar w:fldCharType="begin"/>
      </w:r>
      <w:r>
        <w:instrText xml:space="preserve"> HYPERLINK \l "_Toc30839" </w:instrText>
      </w:r>
      <w:r>
        <w:fldChar w:fldCharType="separate"/>
      </w:r>
      <w:r>
        <w:rPr>
          <w:snapToGrid w:val="0"/>
          <w:sz w:val="32"/>
          <w:szCs w:val="32"/>
        </w:rPr>
        <w:t>四、主要环境影响和保护措施</w:t>
      </w:r>
      <w:r>
        <w:rPr>
          <w:snapToGrid w:val="0"/>
          <w:sz w:val="32"/>
          <w:szCs w:val="32"/>
        </w:rPr>
        <w:tab/>
      </w:r>
      <w:r>
        <w:rPr>
          <w:snapToGrid w:val="0"/>
          <w:sz w:val="32"/>
          <w:szCs w:val="32"/>
        </w:rPr>
        <w:fldChar w:fldCharType="begin"/>
      </w:r>
      <w:r>
        <w:rPr>
          <w:snapToGrid w:val="0"/>
          <w:sz w:val="32"/>
          <w:szCs w:val="32"/>
        </w:rPr>
        <w:instrText xml:space="preserve"> PAGEREF _Toc30839 \h </w:instrText>
      </w:r>
      <w:r>
        <w:rPr>
          <w:snapToGrid w:val="0"/>
          <w:sz w:val="32"/>
          <w:szCs w:val="32"/>
        </w:rPr>
        <w:fldChar w:fldCharType="separate"/>
      </w:r>
      <w:r>
        <w:rPr>
          <w:snapToGrid w:val="0"/>
          <w:sz w:val="32"/>
          <w:szCs w:val="32"/>
        </w:rPr>
        <w:t>- 19 -</w:t>
      </w:r>
      <w:r>
        <w:rPr>
          <w:snapToGrid w:val="0"/>
          <w:sz w:val="32"/>
          <w:szCs w:val="32"/>
        </w:rPr>
        <w:fldChar w:fldCharType="end"/>
      </w:r>
      <w:r>
        <w:rPr>
          <w:snapToGrid w:val="0"/>
          <w:sz w:val="32"/>
          <w:szCs w:val="32"/>
        </w:rPr>
        <w:fldChar w:fldCharType="end"/>
      </w:r>
    </w:p>
    <w:p>
      <w:pPr>
        <w:pStyle w:val="50"/>
        <w:tabs>
          <w:tab w:val="right" w:leader="dot" w:pos="9638"/>
        </w:tabs>
        <w:spacing w:line="360" w:lineRule="auto"/>
        <w:rPr>
          <w:snapToGrid w:val="0"/>
          <w:sz w:val="32"/>
          <w:szCs w:val="32"/>
        </w:rPr>
      </w:pPr>
      <w:r>
        <w:fldChar w:fldCharType="begin"/>
      </w:r>
      <w:r>
        <w:instrText xml:space="preserve"> HYPERLINK \l "_Toc18223" </w:instrText>
      </w:r>
      <w:r>
        <w:fldChar w:fldCharType="separate"/>
      </w:r>
      <w:r>
        <w:rPr>
          <w:snapToGrid w:val="0"/>
          <w:sz w:val="32"/>
          <w:szCs w:val="32"/>
        </w:rPr>
        <w:t>五、环境保护措施监督检查清单</w:t>
      </w:r>
      <w:r>
        <w:rPr>
          <w:snapToGrid w:val="0"/>
          <w:sz w:val="32"/>
          <w:szCs w:val="32"/>
        </w:rPr>
        <w:tab/>
      </w:r>
      <w:r>
        <w:rPr>
          <w:snapToGrid w:val="0"/>
          <w:sz w:val="32"/>
          <w:szCs w:val="32"/>
        </w:rPr>
        <w:fldChar w:fldCharType="begin"/>
      </w:r>
      <w:r>
        <w:rPr>
          <w:snapToGrid w:val="0"/>
          <w:sz w:val="32"/>
          <w:szCs w:val="32"/>
        </w:rPr>
        <w:instrText xml:space="preserve"> PAGEREF _Toc18223 \h </w:instrText>
      </w:r>
      <w:r>
        <w:rPr>
          <w:snapToGrid w:val="0"/>
          <w:sz w:val="32"/>
          <w:szCs w:val="32"/>
        </w:rPr>
        <w:fldChar w:fldCharType="separate"/>
      </w:r>
      <w:r>
        <w:rPr>
          <w:snapToGrid w:val="0"/>
          <w:sz w:val="32"/>
          <w:szCs w:val="32"/>
        </w:rPr>
        <w:t>- 39 -</w:t>
      </w:r>
      <w:r>
        <w:rPr>
          <w:snapToGrid w:val="0"/>
          <w:sz w:val="32"/>
          <w:szCs w:val="32"/>
        </w:rPr>
        <w:fldChar w:fldCharType="end"/>
      </w:r>
      <w:r>
        <w:rPr>
          <w:snapToGrid w:val="0"/>
          <w:sz w:val="32"/>
          <w:szCs w:val="32"/>
        </w:rPr>
        <w:fldChar w:fldCharType="end"/>
      </w:r>
    </w:p>
    <w:p>
      <w:pPr>
        <w:pStyle w:val="50"/>
        <w:tabs>
          <w:tab w:val="right" w:leader="dot" w:pos="9638"/>
        </w:tabs>
        <w:spacing w:line="360" w:lineRule="auto"/>
        <w:rPr>
          <w:snapToGrid w:val="0"/>
          <w:sz w:val="32"/>
          <w:szCs w:val="32"/>
        </w:rPr>
      </w:pPr>
      <w:r>
        <w:fldChar w:fldCharType="begin"/>
      </w:r>
      <w:r>
        <w:instrText xml:space="preserve"> HYPERLINK \l "_Toc5887" </w:instrText>
      </w:r>
      <w:r>
        <w:fldChar w:fldCharType="separate"/>
      </w:r>
      <w:r>
        <w:rPr>
          <w:snapToGrid w:val="0"/>
          <w:sz w:val="32"/>
          <w:szCs w:val="32"/>
        </w:rPr>
        <w:t>六、结论</w:t>
      </w:r>
      <w:r>
        <w:rPr>
          <w:snapToGrid w:val="0"/>
          <w:sz w:val="32"/>
          <w:szCs w:val="32"/>
        </w:rPr>
        <w:tab/>
      </w:r>
      <w:r>
        <w:rPr>
          <w:snapToGrid w:val="0"/>
          <w:sz w:val="32"/>
          <w:szCs w:val="32"/>
        </w:rPr>
        <w:fldChar w:fldCharType="begin"/>
      </w:r>
      <w:r>
        <w:rPr>
          <w:snapToGrid w:val="0"/>
          <w:sz w:val="32"/>
          <w:szCs w:val="32"/>
        </w:rPr>
        <w:instrText xml:space="preserve"> PAGEREF _Toc5887 \h </w:instrText>
      </w:r>
      <w:r>
        <w:rPr>
          <w:snapToGrid w:val="0"/>
          <w:sz w:val="32"/>
          <w:szCs w:val="32"/>
        </w:rPr>
        <w:fldChar w:fldCharType="separate"/>
      </w:r>
      <w:r>
        <w:rPr>
          <w:snapToGrid w:val="0"/>
          <w:sz w:val="32"/>
          <w:szCs w:val="32"/>
        </w:rPr>
        <w:t>- 46 -</w:t>
      </w:r>
      <w:r>
        <w:rPr>
          <w:snapToGrid w:val="0"/>
          <w:sz w:val="32"/>
          <w:szCs w:val="32"/>
        </w:rPr>
        <w:fldChar w:fldCharType="end"/>
      </w:r>
      <w:r>
        <w:rPr>
          <w:snapToGrid w:val="0"/>
          <w:sz w:val="32"/>
          <w:szCs w:val="32"/>
        </w:rPr>
        <w:fldChar w:fldCharType="end"/>
      </w:r>
    </w:p>
    <w:p>
      <w:pPr>
        <w:pStyle w:val="50"/>
        <w:tabs>
          <w:tab w:val="right" w:leader="dot" w:pos="9638"/>
        </w:tabs>
        <w:spacing w:line="360" w:lineRule="auto"/>
        <w:rPr>
          <w:snapToGrid w:val="0"/>
          <w:sz w:val="32"/>
          <w:szCs w:val="32"/>
        </w:rPr>
      </w:pPr>
      <w:r>
        <w:fldChar w:fldCharType="begin"/>
      </w:r>
      <w:r>
        <w:instrText xml:space="preserve"> HYPERLINK \l "_Toc20474" </w:instrText>
      </w:r>
      <w:r>
        <w:fldChar w:fldCharType="separate"/>
      </w:r>
      <w:r>
        <w:rPr>
          <w:snapToGrid w:val="0"/>
          <w:sz w:val="32"/>
          <w:szCs w:val="32"/>
        </w:rPr>
        <w:t>建设项目污染物排放量汇总表</w:t>
      </w:r>
      <w:r>
        <w:rPr>
          <w:snapToGrid w:val="0"/>
          <w:sz w:val="32"/>
          <w:szCs w:val="32"/>
        </w:rPr>
        <w:tab/>
      </w:r>
      <w:r>
        <w:rPr>
          <w:snapToGrid w:val="0"/>
          <w:sz w:val="32"/>
          <w:szCs w:val="32"/>
        </w:rPr>
        <w:fldChar w:fldCharType="begin"/>
      </w:r>
      <w:r>
        <w:rPr>
          <w:snapToGrid w:val="0"/>
          <w:sz w:val="32"/>
          <w:szCs w:val="32"/>
        </w:rPr>
        <w:instrText xml:space="preserve"> PAGEREF _Toc20474 \h </w:instrText>
      </w:r>
      <w:r>
        <w:rPr>
          <w:snapToGrid w:val="0"/>
          <w:sz w:val="32"/>
          <w:szCs w:val="32"/>
        </w:rPr>
        <w:fldChar w:fldCharType="separate"/>
      </w:r>
      <w:r>
        <w:rPr>
          <w:snapToGrid w:val="0"/>
          <w:sz w:val="32"/>
          <w:szCs w:val="32"/>
        </w:rPr>
        <w:t>- 47 -</w:t>
      </w:r>
      <w:r>
        <w:rPr>
          <w:snapToGrid w:val="0"/>
          <w:sz w:val="32"/>
          <w:szCs w:val="32"/>
        </w:rPr>
        <w:fldChar w:fldCharType="end"/>
      </w:r>
      <w:r>
        <w:rPr>
          <w:snapToGrid w:val="0"/>
          <w:sz w:val="32"/>
          <w:szCs w:val="32"/>
        </w:rPr>
        <w:fldChar w:fldCharType="end"/>
      </w:r>
    </w:p>
    <w:p>
      <w:pPr>
        <w:pStyle w:val="61"/>
        <w:spacing w:line="360" w:lineRule="auto"/>
        <w:rPr>
          <w:rFonts w:ascii="Times New Roman" w:cs="Times New Roman"/>
        </w:rPr>
        <w:sectPr>
          <w:pgSz w:w="11906" w:h="16838"/>
          <w:pgMar w:top="1134" w:right="1247" w:bottom="1134" w:left="1417" w:header="851" w:footer="1077" w:gutter="0"/>
          <w:pgNumType w:start="3"/>
          <w:cols w:space="720" w:num="1"/>
          <w:docGrid w:linePitch="312" w:charSpace="0"/>
        </w:sectPr>
      </w:pPr>
      <w:r>
        <w:rPr>
          <w:rFonts w:ascii="Times New Roman" w:cs="Times New Roman"/>
        </w:rPr>
        <w:fldChar w:fldCharType="end"/>
      </w:r>
    </w:p>
    <w:p>
      <w:pPr>
        <w:pStyle w:val="61"/>
        <w:spacing w:line="360" w:lineRule="auto"/>
        <w:rPr>
          <w:rFonts w:ascii="Times New Roman" w:cs="Times New Roman"/>
          <w:b/>
          <w:bCs/>
          <w:sz w:val="28"/>
          <w:szCs w:val="28"/>
        </w:rPr>
      </w:pPr>
      <w:r>
        <w:rPr>
          <w:rFonts w:ascii="Times New Roman" w:cs="Times New Roman"/>
          <w:b/>
          <w:bCs/>
          <w:sz w:val="28"/>
          <w:szCs w:val="28"/>
        </w:rPr>
        <w:t>附件：</w:t>
      </w:r>
    </w:p>
    <w:p>
      <w:pPr>
        <w:pStyle w:val="61"/>
        <w:adjustRightInd/>
        <w:spacing w:line="360" w:lineRule="auto"/>
        <w:ind w:firstLine="560" w:firstLineChars="200"/>
        <w:rPr>
          <w:rFonts w:ascii="Times New Roman" w:cs="Times New Roman"/>
          <w:sz w:val="28"/>
          <w:szCs w:val="28"/>
        </w:rPr>
      </w:pPr>
      <w:r>
        <w:rPr>
          <w:rFonts w:ascii="Times New Roman" w:cs="Times New Roman"/>
          <w:sz w:val="28"/>
          <w:szCs w:val="28"/>
        </w:rPr>
        <w:t>附件1 建设项目环评委托书</w:t>
      </w:r>
    </w:p>
    <w:p>
      <w:pPr>
        <w:pStyle w:val="61"/>
        <w:adjustRightInd/>
        <w:spacing w:line="360" w:lineRule="auto"/>
        <w:ind w:firstLine="560" w:firstLineChars="200"/>
        <w:rPr>
          <w:rFonts w:ascii="Times New Roman" w:cs="Times New Roman"/>
          <w:sz w:val="28"/>
          <w:szCs w:val="28"/>
        </w:rPr>
      </w:pPr>
      <w:r>
        <w:rPr>
          <w:rFonts w:ascii="Times New Roman" w:cs="Times New Roman"/>
          <w:sz w:val="28"/>
          <w:szCs w:val="28"/>
        </w:rPr>
        <w:t>附件2 建设单位营业执照及法人身份证</w:t>
      </w:r>
    </w:p>
    <w:p>
      <w:pPr>
        <w:pStyle w:val="61"/>
        <w:adjustRightInd/>
        <w:spacing w:line="360" w:lineRule="auto"/>
        <w:ind w:firstLine="560" w:firstLineChars="200"/>
        <w:rPr>
          <w:rFonts w:ascii="Times New Roman" w:cs="Times New Roman"/>
          <w:sz w:val="28"/>
          <w:szCs w:val="28"/>
        </w:rPr>
      </w:pPr>
      <w:r>
        <w:rPr>
          <w:rFonts w:ascii="Times New Roman" w:cs="Times New Roman"/>
          <w:sz w:val="28"/>
          <w:szCs w:val="28"/>
        </w:rPr>
        <w:t>附件3 投资备案证</w:t>
      </w:r>
    </w:p>
    <w:p>
      <w:pPr>
        <w:pStyle w:val="61"/>
        <w:adjustRightInd/>
        <w:spacing w:line="360" w:lineRule="auto"/>
        <w:ind w:firstLine="560" w:firstLineChars="200"/>
        <w:rPr>
          <w:rFonts w:ascii="Times New Roman" w:cs="Times New Roman"/>
          <w:sz w:val="28"/>
          <w:szCs w:val="28"/>
        </w:rPr>
      </w:pPr>
      <w:r>
        <w:rPr>
          <w:rFonts w:ascii="Times New Roman" w:cs="Times New Roman"/>
          <w:sz w:val="28"/>
          <w:szCs w:val="28"/>
        </w:rPr>
        <w:t>附件4 场地租赁合同</w:t>
      </w:r>
    </w:p>
    <w:p>
      <w:pPr>
        <w:pStyle w:val="61"/>
        <w:adjustRightInd/>
        <w:spacing w:line="360" w:lineRule="auto"/>
        <w:ind w:firstLine="560" w:firstLineChars="200"/>
        <w:rPr>
          <w:rFonts w:ascii="Times New Roman" w:cs="Times New Roman"/>
          <w:sz w:val="28"/>
          <w:szCs w:val="28"/>
        </w:rPr>
      </w:pPr>
      <w:r>
        <w:rPr>
          <w:rFonts w:ascii="Times New Roman" w:cs="Times New Roman"/>
          <w:sz w:val="28"/>
          <w:szCs w:val="28"/>
        </w:rPr>
        <w:t>附件5 工业用地证明</w:t>
      </w:r>
    </w:p>
    <w:p>
      <w:pPr>
        <w:pStyle w:val="61"/>
        <w:adjustRightInd/>
        <w:spacing w:line="360" w:lineRule="auto"/>
        <w:ind w:firstLine="560" w:firstLineChars="200"/>
        <w:rPr>
          <w:rFonts w:ascii="Times New Roman" w:cs="Times New Roman"/>
          <w:sz w:val="28"/>
          <w:szCs w:val="28"/>
        </w:rPr>
      </w:pPr>
      <w:r>
        <w:rPr>
          <w:rFonts w:ascii="Times New Roman" w:cs="Times New Roman"/>
          <w:sz w:val="28"/>
          <w:szCs w:val="28"/>
        </w:rPr>
        <w:t>附件6 不在生态红线的证明</w:t>
      </w:r>
    </w:p>
    <w:p>
      <w:pPr>
        <w:pStyle w:val="61"/>
        <w:adjustRightInd/>
        <w:spacing w:line="360" w:lineRule="auto"/>
        <w:ind w:firstLine="560" w:firstLineChars="200"/>
        <w:rPr>
          <w:rFonts w:ascii="Times New Roman" w:cs="Times New Roman"/>
          <w:sz w:val="28"/>
          <w:szCs w:val="28"/>
        </w:rPr>
      </w:pPr>
      <w:r>
        <w:rPr>
          <w:rFonts w:ascii="Times New Roman" w:cs="Times New Roman"/>
          <w:sz w:val="28"/>
          <w:szCs w:val="28"/>
        </w:rPr>
        <w:t>附件7 检测报告</w:t>
      </w:r>
    </w:p>
    <w:p>
      <w:pPr>
        <w:pStyle w:val="61"/>
        <w:adjustRightInd/>
        <w:spacing w:line="360" w:lineRule="auto"/>
        <w:ind w:firstLine="560" w:firstLineChars="200"/>
        <w:rPr>
          <w:rFonts w:ascii="Times New Roman" w:cs="Times New Roman"/>
          <w:sz w:val="28"/>
          <w:szCs w:val="28"/>
        </w:rPr>
      </w:pPr>
      <w:r>
        <w:rPr>
          <w:rFonts w:ascii="Times New Roman" w:cs="Times New Roman"/>
          <w:sz w:val="28"/>
          <w:szCs w:val="28"/>
        </w:rPr>
        <w:t>附件8 评审意见及专家签到表</w:t>
      </w:r>
    </w:p>
    <w:p>
      <w:pPr>
        <w:pStyle w:val="61"/>
        <w:spacing w:line="360" w:lineRule="auto"/>
        <w:rPr>
          <w:rFonts w:ascii="Times New Roman" w:cs="Times New Roman"/>
          <w:b/>
          <w:bCs/>
          <w:sz w:val="28"/>
          <w:szCs w:val="28"/>
        </w:rPr>
      </w:pPr>
      <w:r>
        <w:rPr>
          <w:rFonts w:ascii="Times New Roman" w:cs="Times New Roman"/>
          <w:b/>
          <w:bCs/>
          <w:sz w:val="28"/>
          <w:szCs w:val="28"/>
        </w:rPr>
        <w:t>附图：</w:t>
      </w:r>
    </w:p>
    <w:p>
      <w:pPr>
        <w:pStyle w:val="61"/>
        <w:adjustRightInd/>
        <w:spacing w:line="360" w:lineRule="auto"/>
        <w:ind w:firstLine="560" w:firstLineChars="200"/>
        <w:rPr>
          <w:rFonts w:ascii="Times New Roman" w:cs="Times New Roman"/>
          <w:sz w:val="28"/>
          <w:szCs w:val="28"/>
        </w:rPr>
      </w:pPr>
      <w:r>
        <w:rPr>
          <w:rFonts w:ascii="Times New Roman" w:cs="Times New Roman"/>
          <w:sz w:val="28"/>
          <w:szCs w:val="28"/>
        </w:rPr>
        <w:t>附图1 项目地理位置图</w:t>
      </w:r>
    </w:p>
    <w:p>
      <w:pPr>
        <w:pStyle w:val="61"/>
        <w:adjustRightInd/>
        <w:spacing w:line="360" w:lineRule="auto"/>
        <w:ind w:firstLine="560" w:firstLineChars="200"/>
        <w:rPr>
          <w:rFonts w:ascii="Times New Roman" w:cs="Times New Roman"/>
          <w:sz w:val="28"/>
          <w:szCs w:val="28"/>
        </w:rPr>
      </w:pPr>
      <w:r>
        <w:rPr>
          <w:rFonts w:ascii="Times New Roman" w:cs="Times New Roman"/>
          <w:sz w:val="28"/>
          <w:szCs w:val="28"/>
        </w:rPr>
        <w:t>附图2 厂区平面布置图</w:t>
      </w:r>
    </w:p>
    <w:p>
      <w:pPr>
        <w:pStyle w:val="61"/>
        <w:adjustRightInd/>
        <w:spacing w:line="360" w:lineRule="auto"/>
        <w:ind w:firstLine="560" w:firstLineChars="200"/>
        <w:rPr>
          <w:rFonts w:ascii="Times New Roman" w:cs="Times New Roman"/>
          <w:sz w:val="28"/>
          <w:szCs w:val="28"/>
        </w:rPr>
      </w:pPr>
      <w:r>
        <w:rPr>
          <w:rFonts w:ascii="Times New Roman" w:cs="Times New Roman"/>
          <w:sz w:val="28"/>
          <w:szCs w:val="28"/>
        </w:rPr>
        <w:t>附图3 周边概况图</w:t>
      </w:r>
    </w:p>
    <w:p>
      <w:pPr>
        <w:pStyle w:val="61"/>
        <w:adjustRightInd/>
        <w:spacing w:line="360" w:lineRule="auto"/>
        <w:ind w:firstLine="560" w:firstLineChars="200"/>
        <w:rPr>
          <w:rFonts w:ascii="Times New Roman" w:cs="Times New Roman"/>
          <w:sz w:val="28"/>
          <w:szCs w:val="28"/>
        </w:rPr>
      </w:pPr>
      <w:r>
        <w:rPr>
          <w:rFonts w:ascii="Times New Roman" w:cs="Times New Roman"/>
          <w:sz w:val="28"/>
          <w:szCs w:val="28"/>
        </w:rPr>
        <w:t>附图4 区域地表水系图</w:t>
      </w:r>
    </w:p>
    <w:p>
      <w:pPr>
        <w:pStyle w:val="6"/>
      </w:pPr>
    </w:p>
    <w:p>
      <w:pPr>
        <w:pStyle w:val="61"/>
        <w:adjustRightInd/>
        <w:spacing w:line="360" w:lineRule="auto"/>
        <w:ind w:firstLine="560" w:firstLineChars="200"/>
        <w:rPr>
          <w:rFonts w:ascii="Times New Roman" w:cs="Times New Roman"/>
          <w:sz w:val="28"/>
          <w:szCs w:val="28"/>
        </w:rPr>
        <w:sectPr>
          <w:pgSz w:w="11906" w:h="16838"/>
          <w:pgMar w:top="1134" w:right="1247" w:bottom="1134" w:left="1417" w:header="851" w:footer="1077" w:gutter="0"/>
          <w:pgNumType w:start="3"/>
          <w:cols w:space="720" w:num="1"/>
          <w:docGrid w:linePitch="312" w:charSpace="0"/>
        </w:sectPr>
      </w:pPr>
    </w:p>
    <w:p>
      <w:pPr>
        <w:pStyle w:val="22"/>
        <w:jc w:val="center"/>
        <w:outlineLvl w:val="0"/>
        <w:rPr>
          <w:rFonts w:ascii="Times New Roman" w:hAnsi="Times New Roman" w:eastAsia="黑体"/>
          <w:snapToGrid w:val="0"/>
          <w:sz w:val="30"/>
          <w:szCs w:val="30"/>
        </w:rPr>
      </w:pPr>
      <w:bookmarkStart w:id="1" w:name="_Toc32025"/>
      <w:r>
        <w:rPr>
          <w:rFonts w:ascii="Times New Roman" w:hAnsi="Times New Roman" w:eastAsia="黑体"/>
          <w:snapToGrid w:val="0"/>
          <w:sz w:val="30"/>
          <w:szCs w:val="30"/>
        </w:rPr>
        <w:t>一、建设项目基本情况</w:t>
      </w:r>
      <w:bookmarkEnd w:id="1"/>
    </w:p>
    <w:tbl>
      <w:tblPr>
        <w:tblStyle w:val="25"/>
        <w:tblW w:w="92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17"/>
        <w:gridCol w:w="1610"/>
        <w:gridCol w:w="2855"/>
        <w:gridCol w:w="2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17" w:type="dxa"/>
            <w:tcMar>
              <w:top w:w="16" w:type="dxa"/>
              <w:left w:w="16" w:type="dxa"/>
              <w:right w:w="16" w:type="dxa"/>
            </w:tcMar>
            <w:vAlign w:val="center"/>
          </w:tcPr>
          <w:p>
            <w:pPr>
              <w:adjustRightInd w:val="0"/>
              <w:snapToGrid w:val="0"/>
              <w:jc w:val="center"/>
              <w:rPr>
                <w:sz w:val="24"/>
              </w:rPr>
            </w:pPr>
            <w:r>
              <w:rPr>
                <w:sz w:val="24"/>
              </w:rPr>
              <w:t>建设项目名称</w:t>
            </w:r>
          </w:p>
        </w:tc>
        <w:tc>
          <w:tcPr>
            <w:tcW w:w="7325" w:type="dxa"/>
            <w:gridSpan w:val="3"/>
            <w:vAlign w:val="center"/>
          </w:tcPr>
          <w:p>
            <w:pPr>
              <w:adjustRightInd w:val="0"/>
              <w:snapToGrid w:val="0"/>
              <w:jc w:val="center"/>
              <w:rPr>
                <w:sz w:val="24"/>
              </w:rPr>
            </w:pPr>
            <w:r>
              <w:rPr>
                <w:sz w:val="24"/>
              </w:rPr>
              <w:t>白石镇鑫业砂石料加工场建设项目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17" w:type="dxa"/>
            <w:tcMar>
              <w:top w:w="16" w:type="dxa"/>
              <w:left w:w="16" w:type="dxa"/>
              <w:right w:w="16" w:type="dxa"/>
            </w:tcMar>
            <w:vAlign w:val="center"/>
          </w:tcPr>
          <w:p>
            <w:pPr>
              <w:adjustRightInd w:val="0"/>
              <w:snapToGrid w:val="0"/>
              <w:jc w:val="center"/>
              <w:rPr>
                <w:sz w:val="24"/>
              </w:rPr>
            </w:pPr>
            <w:r>
              <w:rPr>
                <w:sz w:val="24"/>
              </w:rPr>
              <w:t>项目代码</w:t>
            </w:r>
          </w:p>
        </w:tc>
        <w:tc>
          <w:tcPr>
            <w:tcW w:w="7325" w:type="dxa"/>
            <w:gridSpan w:val="3"/>
            <w:vAlign w:val="center"/>
          </w:tcPr>
          <w:p>
            <w:pPr>
              <w:adjustRightInd w:val="0"/>
              <w:snapToGrid w:val="0"/>
              <w:jc w:val="center"/>
              <w:rPr>
                <w:sz w:val="24"/>
              </w:rPr>
            </w:pPr>
            <w:r>
              <w:rPr>
                <w:sz w:val="24"/>
              </w:rPr>
              <w:t>2020-532929-50-03-010895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17" w:type="dxa"/>
            <w:tcMar>
              <w:top w:w="16" w:type="dxa"/>
              <w:left w:w="16" w:type="dxa"/>
              <w:right w:w="16" w:type="dxa"/>
            </w:tcMar>
            <w:vAlign w:val="center"/>
          </w:tcPr>
          <w:p>
            <w:pPr>
              <w:adjustRightInd w:val="0"/>
              <w:snapToGrid w:val="0"/>
              <w:jc w:val="center"/>
              <w:rPr>
                <w:sz w:val="24"/>
              </w:rPr>
            </w:pPr>
            <w:r>
              <w:rPr>
                <w:sz w:val="24"/>
              </w:rPr>
              <w:t>建设单位联系人</w:t>
            </w:r>
          </w:p>
        </w:tc>
        <w:tc>
          <w:tcPr>
            <w:tcW w:w="1610" w:type="dxa"/>
            <w:vAlign w:val="center"/>
          </w:tcPr>
          <w:p>
            <w:pPr>
              <w:adjustRightInd w:val="0"/>
              <w:snapToGrid w:val="0"/>
              <w:jc w:val="center"/>
              <w:rPr>
                <w:sz w:val="24"/>
              </w:rPr>
            </w:pPr>
            <w:r>
              <w:rPr>
                <w:sz w:val="24"/>
              </w:rPr>
              <w:t>张正堂</w:t>
            </w:r>
          </w:p>
        </w:tc>
        <w:tc>
          <w:tcPr>
            <w:tcW w:w="2855" w:type="dxa"/>
            <w:vAlign w:val="center"/>
          </w:tcPr>
          <w:p>
            <w:pPr>
              <w:adjustRightInd w:val="0"/>
              <w:snapToGrid w:val="0"/>
              <w:jc w:val="center"/>
              <w:rPr>
                <w:sz w:val="24"/>
              </w:rPr>
            </w:pPr>
            <w:r>
              <w:rPr>
                <w:sz w:val="24"/>
              </w:rPr>
              <w:t>联系方式</w:t>
            </w:r>
          </w:p>
        </w:tc>
        <w:tc>
          <w:tcPr>
            <w:tcW w:w="2860" w:type="dxa"/>
            <w:vAlign w:val="center"/>
          </w:tcPr>
          <w:p>
            <w:pPr>
              <w:adjustRightInd w:val="0"/>
              <w:snapToGrid w:val="0"/>
              <w:jc w:val="center"/>
              <w:rPr>
                <w:sz w:val="24"/>
              </w:rPr>
            </w:pPr>
            <w:r>
              <w:rPr>
                <w:sz w:val="24"/>
              </w:rPr>
              <w:t>13988652020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atLeast"/>
          <w:jc w:val="center"/>
        </w:trPr>
        <w:tc>
          <w:tcPr>
            <w:tcW w:w="1917" w:type="dxa"/>
            <w:tcMar>
              <w:top w:w="16" w:type="dxa"/>
              <w:left w:w="16" w:type="dxa"/>
              <w:right w:w="16" w:type="dxa"/>
            </w:tcMar>
            <w:vAlign w:val="center"/>
          </w:tcPr>
          <w:p>
            <w:pPr>
              <w:adjustRightInd w:val="0"/>
              <w:snapToGrid w:val="0"/>
              <w:jc w:val="center"/>
              <w:rPr>
                <w:sz w:val="24"/>
              </w:rPr>
            </w:pPr>
            <w:r>
              <w:rPr>
                <w:sz w:val="24"/>
              </w:rPr>
              <w:t>建设地点</w:t>
            </w:r>
          </w:p>
        </w:tc>
        <w:tc>
          <w:tcPr>
            <w:tcW w:w="7325" w:type="dxa"/>
            <w:gridSpan w:val="3"/>
            <w:vAlign w:val="center"/>
          </w:tcPr>
          <w:p>
            <w:pPr>
              <w:adjustRightInd w:val="0"/>
              <w:snapToGrid w:val="0"/>
              <w:jc w:val="center"/>
              <w:rPr>
                <w:sz w:val="24"/>
              </w:rPr>
            </w:pPr>
            <w:r>
              <w:rPr>
                <w:sz w:val="24"/>
              </w:rPr>
              <w:t>云南省大理白族自治州云龙县白石镇中和村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17" w:type="dxa"/>
            <w:tcMar>
              <w:top w:w="16" w:type="dxa"/>
              <w:left w:w="16" w:type="dxa"/>
              <w:right w:w="16" w:type="dxa"/>
            </w:tcMar>
            <w:vAlign w:val="center"/>
          </w:tcPr>
          <w:p>
            <w:pPr>
              <w:adjustRightInd w:val="0"/>
              <w:snapToGrid w:val="0"/>
              <w:jc w:val="center"/>
              <w:rPr>
                <w:sz w:val="24"/>
              </w:rPr>
            </w:pPr>
            <w:r>
              <w:rPr>
                <w:sz w:val="24"/>
              </w:rPr>
              <w:t>地理坐标</w:t>
            </w:r>
          </w:p>
        </w:tc>
        <w:tc>
          <w:tcPr>
            <w:tcW w:w="7325" w:type="dxa"/>
            <w:gridSpan w:val="3"/>
            <w:vAlign w:val="center"/>
          </w:tcPr>
          <w:p>
            <w:pPr>
              <w:jc w:val="center"/>
              <w:rPr>
                <w:sz w:val="24"/>
              </w:rPr>
            </w:pPr>
            <w:r>
              <w:rPr>
                <w:kern w:val="0"/>
                <w:sz w:val="24"/>
              </w:rPr>
              <w:t>（东经：99 度 25 分 55.833 秒，北纬 26度 12分 19.720  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17" w:type="dxa"/>
            <w:tcMar>
              <w:top w:w="16" w:type="dxa"/>
              <w:left w:w="16" w:type="dxa"/>
              <w:right w:w="16" w:type="dxa"/>
            </w:tcMar>
            <w:vAlign w:val="center"/>
          </w:tcPr>
          <w:p>
            <w:pPr>
              <w:adjustRightInd w:val="0"/>
              <w:snapToGrid w:val="0"/>
              <w:jc w:val="center"/>
              <w:rPr>
                <w:sz w:val="24"/>
              </w:rPr>
            </w:pPr>
            <w:r>
              <w:rPr>
                <w:sz w:val="24"/>
              </w:rPr>
              <w:t>国民经济</w:t>
            </w:r>
          </w:p>
          <w:p>
            <w:pPr>
              <w:adjustRightInd w:val="0"/>
              <w:snapToGrid w:val="0"/>
              <w:jc w:val="center"/>
              <w:rPr>
                <w:sz w:val="24"/>
              </w:rPr>
            </w:pPr>
            <w:r>
              <w:rPr>
                <w:sz w:val="24"/>
              </w:rPr>
              <w:t>行业类别</w:t>
            </w:r>
          </w:p>
        </w:tc>
        <w:tc>
          <w:tcPr>
            <w:tcW w:w="1610" w:type="dxa"/>
            <w:vAlign w:val="center"/>
          </w:tcPr>
          <w:p>
            <w:pPr>
              <w:adjustRightInd w:val="0"/>
              <w:snapToGrid w:val="0"/>
              <w:jc w:val="center"/>
              <w:rPr>
                <w:sz w:val="24"/>
              </w:rPr>
            </w:pPr>
            <w:r>
              <w:rPr>
                <w:sz w:val="24"/>
              </w:rPr>
              <w:t>C3039其他建筑材料制造</w:t>
            </w:r>
          </w:p>
        </w:tc>
        <w:tc>
          <w:tcPr>
            <w:tcW w:w="2855" w:type="dxa"/>
            <w:vAlign w:val="center"/>
          </w:tcPr>
          <w:p>
            <w:pPr>
              <w:adjustRightInd w:val="0"/>
              <w:snapToGrid w:val="0"/>
              <w:jc w:val="center"/>
              <w:rPr>
                <w:sz w:val="24"/>
              </w:rPr>
            </w:pPr>
            <w:bookmarkStart w:id="2" w:name="_Hlk49843745"/>
            <w:r>
              <w:rPr>
                <w:sz w:val="24"/>
              </w:rPr>
              <w:t>建设项目</w:t>
            </w:r>
          </w:p>
          <w:p>
            <w:pPr>
              <w:adjustRightInd w:val="0"/>
              <w:snapToGrid w:val="0"/>
              <w:jc w:val="center"/>
              <w:rPr>
                <w:sz w:val="24"/>
              </w:rPr>
            </w:pPr>
            <w:r>
              <w:rPr>
                <w:sz w:val="24"/>
              </w:rPr>
              <w:t>行业类别</w:t>
            </w:r>
            <w:bookmarkEnd w:id="2"/>
          </w:p>
        </w:tc>
        <w:tc>
          <w:tcPr>
            <w:tcW w:w="2860" w:type="dxa"/>
            <w:vAlign w:val="center"/>
          </w:tcPr>
          <w:p>
            <w:pPr>
              <w:adjustRightInd w:val="0"/>
              <w:snapToGrid w:val="0"/>
              <w:jc w:val="center"/>
              <w:rPr>
                <w:sz w:val="24"/>
              </w:rPr>
            </w:pPr>
            <w:r>
              <w:rPr>
                <w:sz w:val="24"/>
              </w:rPr>
              <w:t>56、砖瓦、石材等建筑材料制造303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17" w:type="dxa"/>
            <w:tcMar>
              <w:top w:w="16" w:type="dxa"/>
              <w:left w:w="16" w:type="dxa"/>
              <w:right w:w="16" w:type="dxa"/>
            </w:tcMar>
            <w:vAlign w:val="center"/>
          </w:tcPr>
          <w:p>
            <w:pPr>
              <w:adjustRightInd w:val="0"/>
              <w:snapToGrid w:val="0"/>
              <w:jc w:val="center"/>
              <w:rPr>
                <w:sz w:val="24"/>
              </w:rPr>
            </w:pPr>
            <w:r>
              <w:rPr>
                <w:sz w:val="24"/>
              </w:rPr>
              <w:t>建设性质</w:t>
            </w:r>
          </w:p>
        </w:tc>
        <w:tc>
          <w:tcPr>
            <w:tcW w:w="1610" w:type="dxa"/>
            <w:vAlign w:val="center"/>
          </w:tcPr>
          <w:p>
            <w:pPr>
              <w:ind w:firstLine="480" w:firstLineChars="200"/>
              <w:jc w:val="left"/>
              <w:rPr>
                <w:sz w:val="24"/>
              </w:rPr>
            </w:pPr>
            <w:r>
              <w:rPr>
                <w:sz w:val="24"/>
              </w:rPr>
              <w:sym w:font="Wingdings 2" w:char="0052"/>
            </w:r>
            <w:r>
              <w:rPr>
                <w:sz w:val="24"/>
              </w:rPr>
              <w:t>新建（迁建）</w:t>
            </w:r>
          </w:p>
          <w:p>
            <w:pPr>
              <w:ind w:firstLine="480" w:firstLineChars="200"/>
              <w:jc w:val="left"/>
              <w:rPr>
                <w:sz w:val="24"/>
              </w:rPr>
            </w:pPr>
            <w:r>
              <w:rPr>
                <w:sz w:val="24"/>
              </w:rPr>
              <w:t>□改建</w:t>
            </w:r>
          </w:p>
          <w:p>
            <w:pPr>
              <w:ind w:firstLine="480" w:firstLineChars="200"/>
              <w:jc w:val="left"/>
              <w:rPr>
                <w:sz w:val="24"/>
              </w:rPr>
            </w:pPr>
            <w:r>
              <w:rPr>
                <w:sz w:val="24"/>
              </w:rPr>
              <w:t>□扩建</w:t>
            </w:r>
          </w:p>
          <w:p>
            <w:pPr>
              <w:ind w:firstLine="480" w:firstLineChars="200"/>
              <w:jc w:val="left"/>
              <w:rPr>
                <w:sz w:val="24"/>
              </w:rPr>
            </w:pPr>
            <w:r>
              <w:rPr>
                <w:sz w:val="24"/>
              </w:rPr>
              <w:t>□技术改造</w:t>
            </w:r>
          </w:p>
        </w:tc>
        <w:tc>
          <w:tcPr>
            <w:tcW w:w="2855" w:type="dxa"/>
            <w:vAlign w:val="center"/>
          </w:tcPr>
          <w:p>
            <w:pPr>
              <w:adjustRightInd w:val="0"/>
              <w:snapToGrid w:val="0"/>
              <w:jc w:val="center"/>
              <w:rPr>
                <w:sz w:val="24"/>
              </w:rPr>
            </w:pPr>
            <w:r>
              <w:rPr>
                <w:sz w:val="24"/>
              </w:rPr>
              <w:t>建设项目</w:t>
            </w:r>
          </w:p>
          <w:p>
            <w:pPr>
              <w:adjustRightInd w:val="0"/>
              <w:snapToGrid w:val="0"/>
              <w:jc w:val="center"/>
              <w:rPr>
                <w:sz w:val="24"/>
              </w:rPr>
            </w:pPr>
            <w:r>
              <w:rPr>
                <w:sz w:val="24"/>
              </w:rPr>
              <w:t>申报情形</w:t>
            </w:r>
          </w:p>
        </w:tc>
        <w:tc>
          <w:tcPr>
            <w:tcW w:w="2860" w:type="dxa"/>
            <w:vAlign w:val="center"/>
          </w:tcPr>
          <w:p>
            <w:pPr>
              <w:jc w:val="left"/>
              <w:rPr>
                <w:sz w:val="24"/>
              </w:rPr>
            </w:pPr>
            <w:r>
              <w:rPr>
                <w:rFonts w:ascii="Segoe UI Emoji" w:hAnsi="Segoe UI Emoji" w:cs="Segoe UI Emoji"/>
                <w:sz w:val="24"/>
              </w:rPr>
              <w:t>☑</w:t>
            </w:r>
            <w:r>
              <w:rPr>
                <w:sz w:val="24"/>
              </w:rPr>
              <w:t>首次申报项目</w:t>
            </w:r>
          </w:p>
          <w:p>
            <w:pPr>
              <w:jc w:val="left"/>
              <w:rPr>
                <w:sz w:val="24"/>
              </w:rPr>
            </w:pPr>
            <w:r>
              <w:rPr>
                <w:sz w:val="24"/>
              </w:rPr>
              <w:t>□不予批准后再次申报项目</w:t>
            </w:r>
          </w:p>
          <w:p>
            <w:pPr>
              <w:jc w:val="left"/>
              <w:rPr>
                <w:sz w:val="24"/>
              </w:rPr>
            </w:pPr>
            <w:r>
              <w:rPr>
                <w:sz w:val="24"/>
              </w:rPr>
              <w:t>□超五年重新审核项目</w:t>
            </w:r>
          </w:p>
          <w:p>
            <w:pPr>
              <w:jc w:val="left"/>
              <w:rPr>
                <w:sz w:val="24"/>
              </w:rPr>
            </w:pPr>
            <w:r>
              <w:rPr>
                <w:sz w:val="24"/>
              </w:rPr>
              <w:t>□重大变动重新报批项目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17" w:type="dxa"/>
            <w:tcMar>
              <w:top w:w="16" w:type="dxa"/>
              <w:left w:w="16" w:type="dxa"/>
              <w:right w:w="16" w:type="dxa"/>
            </w:tcMar>
            <w:vAlign w:val="center"/>
          </w:tcPr>
          <w:p>
            <w:pPr>
              <w:adjustRightInd w:val="0"/>
              <w:snapToGrid w:val="0"/>
              <w:jc w:val="center"/>
              <w:rPr>
                <w:sz w:val="24"/>
              </w:rPr>
            </w:pPr>
            <w:r>
              <w:rPr>
                <w:sz w:val="24"/>
              </w:rPr>
              <w:t>项目审批（核准/</w:t>
            </w:r>
          </w:p>
          <w:p>
            <w:pPr>
              <w:adjustRightInd w:val="0"/>
              <w:snapToGrid w:val="0"/>
              <w:jc w:val="center"/>
              <w:rPr>
                <w:sz w:val="24"/>
              </w:rPr>
            </w:pPr>
            <w:r>
              <w:rPr>
                <w:sz w:val="24"/>
              </w:rPr>
              <w:t>备案）部门（选填）</w:t>
            </w:r>
          </w:p>
        </w:tc>
        <w:tc>
          <w:tcPr>
            <w:tcW w:w="1610" w:type="dxa"/>
            <w:vAlign w:val="center"/>
          </w:tcPr>
          <w:p>
            <w:pPr>
              <w:adjustRightInd w:val="0"/>
              <w:snapToGrid w:val="0"/>
              <w:jc w:val="center"/>
              <w:rPr>
                <w:sz w:val="24"/>
              </w:rPr>
            </w:pPr>
            <w:r>
              <w:rPr>
                <w:sz w:val="24"/>
              </w:rPr>
              <w:t>云龙县发展和改革局</w:t>
            </w:r>
          </w:p>
        </w:tc>
        <w:tc>
          <w:tcPr>
            <w:tcW w:w="2855" w:type="dxa"/>
            <w:vAlign w:val="center"/>
          </w:tcPr>
          <w:p>
            <w:pPr>
              <w:adjustRightInd w:val="0"/>
              <w:snapToGrid w:val="0"/>
              <w:jc w:val="center"/>
              <w:rPr>
                <w:sz w:val="24"/>
              </w:rPr>
            </w:pPr>
            <w:r>
              <w:rPr>
                <w:sz w:val="24"/>
              </w:rPr>
              <w:t>项目审批（核准/</w:t>
            </w:r>
          </w:p>
          <w:p>
            <w:pPr>
              <w:adjustRightInd w:val="0"/>
              <w:snapToGrid w:val="0"/>
              <w:jc w:val="center"/>
              <w:rPr>
                <w:sz w:val="24"/>
              </w:rPr>
            </w:pPr>
            <w:r>
              <w:rPr>
                <w:sz w:val="24"/>
              </w:rPr>
              <w:t>备案）文号（选填）</w:t>
            </w:r>
          </w:p>
        </w:tc>
        <w:tc>
          <w:tcPr>
            <w:tcW w:w="2860" w:type="dxa"/>
            <w:vAlign w:val="center"/>
          </w:tcPr>
          <w:p>
            <w:pPr>
              <w:adjustRightInd w:val="0"/>
              <w:snapToGrid w:val="0"/>
              <w:jc w:val="center"/>
              <w:rPr>
                <w:sz w:val="24"/>
              </w:rPr>
            </w:pPr>
            <w:r>
              <w:rPr>
                <w:sz w:val="24"/>
              </w:rPr>
              <w:t>龙发改投资备案[2020]55号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17" w:type="dxa"/>
            <w:tcMar>
              <w:top w:w="16" w:type="dxa"/>
              <w:left w:w="16" w:type="dxa"/>
              <w:right w:w="16" w:type="dxa"/>
            </w:tcMar>
            <w:vAlign w:val="center"/>
          </w:tcPr>
          <w:p>
            <w:pPr>
              <w:adjustRightInd w:val="0"/>
              <w:snapToGrid w:val="0"/>
              <w:jc w:val="center"/>
              <w:rPr>
                <w:sz w:val="24"/>
              </w:rPr>
            </w:pPr>
            <w:r>
              <w:rPr>
                <w:sz w:val="24"/>
              </w:rPr>
              <w:t>总投资（万元）</w:t>
            </w:r>
          </w:p>
        </w:tc>
        <w:tc>
          <w:tcPr>
            <w:tcW w:w="1610" w:type="dxa"/>
            <w:vAlign w:val="center"/>
          </w:tcPr>
          <w:p>
            <w:pPr>
              <w:adjustRightInd w:val="0"/>
              <w:snapToGrid w:val="0"/>
              <w:jc w:val="center"/>
              <w:rPr>
                <w:sz w:val="24"/>
              </w:rPr>
            </w:pPr>
            <w:r>
              <w:rPr>
                <w:sz w:val="24"/>
              </w:rPr>
              <w:t>120</w:t>
            </w:r>
          </w:p>
        </w:tc>
        <w:tc>
          <w:tcPr>
            <w:tcW w:w="2855" w:type="dxa"/>
            <w:tcMar>
              <w:top w:w="16" w:type="dxa"/>
              <w:left w:w="16" w:type="dxa"/>
              <w:right w:w="16" w:type="dxa"/>
            </w:tcMar>
            <w:vAlign w:val="center"/>
          </w:tcPr>
          <w:p>
            <w:pPr>
              <w:adjustRightInd w:val="0"/>
              <w:snapToGrid w:val="0"/>
              <w:jc w:val="center"/>
              <w:rPr>
                <w:sz w:val="24"/>
              </w:rPr>
            </w:pPr>
            <w:r>
              <w:rPr>
                <w:sz w:val="24"/>
              </w:rPr>
              <w:t>环保投资（万元）</w:t>
            </w:r>
          </w:p>
        </w:tc>
        <w:tc>
          <w:tcPr>
            <w:tcW w:w="2860" w:type="dxa"/>
            <w:vAlign w:val="center"/>
          </w:tcPr>
          <w:p>
            <w:pPr>
              <w:adjustRightInd w:val="0"/>
              <w:snapToGrid w:val="0"/>
              <w:jc w:val="center"/>
              <w:rPr>
                <w:sz w:val="24"/>
              </w:rPr>
            </w:pPr>
            <w:r>
              <w:rPr>
                <w:sz w:val="24"/>
              </w:rPr>
              <w:t>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17" w:type="dxa"/>
            <w:tcMar>
              <w:top w:w="16" w:type="dxa"/>
              <w:left w:w="16" w:type="dxa"/>
              <w:right w:w="16" w:type="dxa"/>
            </w:tcMar>
            <w:vAlign w:val="center"/>
          </w:tcPr>
          <w:p>
            <w:pPr>
              <w:adjustRightInd w:val="0"/>
              <w:snapToGrid w:val="0"/>
              <w:jc w:val="center"/>
              <w:rPr>
                <w:sz w:val="24"/>
              </w:rPr>
            </w:pPr>
            <w:r>
              <w:rPr>
                <w:sz w:val="24"/>
              </w:rPr>
              <w:t>环保投资占比（%）</w:t>
            </w:r>
          </w:p>
        </w:tc>
        <w:tc>
          <w:tcPr>
            <w:tcW w:w="1610" w:type="dxa"/>
            <w:vAlign w:val="center"/>
          </w:tcPr>
          <w:p>
            <w:pPr>
              <w:adjustRightInd w:val="0"/>
              <w:snapToGrid w:val="0"/>
              <w:jc w:val="center"/>
              <w:rPr>
                <w:sz w:val="24"/>
              </w:rPr>
            </w:pPr>
            <w:r>
              <w:rPr>
                <w:sz w:val="24"/>
              </w:rPr>
              <w:t>22.42</w:t>
            </w:r>
          </w:p>
        </w:tc>
        <w:tc>
          <w:tcPr>
            <w:tcW w:w="2855" w:type="dxa"/>
            <w:tcMar>
              <w:top w:w="16" w:type="dxa"/>
              <w:left w:w="16" w:type="dxa"/>
              <w:right w:w="16" w:type="dxa"/>
            </w:tcMar>
            <w:vAlign w:val="center"/>
          </w:tcPr>
          <w:p>
            <w:pPr>
              <w:adjustRightInd w:val="0"/>
              <w:snapToGrid w:val="0"/>
              <w:jc w:val="center"/>
              <w:rPr>
                <w:sz w:val="24"/>
              </w:rPr>
            </w:pPr>
            <w:r>
              <w:rPr>
                <w:sz w:val="24"/>
              </w:rPr>
              <w:t>施工工期</w:t>
            </w:r>
          </w:p>
        </w:tc>
        <w:tc>
          <w:tcPr>
            <w:tcW w:w="2860" w:type="dxa"/>
            <w:vAlign w:val="center"/>
          </w:tcPr>
          <w:p>
            <w:pPr>
              <w:adjustRightInd w:val="0"/>
              <w:snapToGrid w:val="0"/>
              <w:jc w:val="center"/>
              <w:rPr>
                <w:sz w:val="24"/>
              </w:rPr>
            </w:pPr>
            <w:r>
              <w:rPr>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17" w:type="dxa"/>
            <w:tcMar>
              <w:top w:w="16" w:type="dxa"/>
              <w:left w:w="16" w:type="dxa"/>
              <w:right w:w="16" w:type="dxa"/>
            </w:tcMar>
            <w:vAlign w:val="center"/>
          </w:tcPr>
          <w:p>
            <w:pPr>
              <w:adjustRightInd w:val="0"/>
              <w:snapToGrid w:val="0"/>
              <w:jc w:val="center"/>
              <w:rPr>
                <w:sz w:val="24"/>
              </w:rPr>
            </w:pPr>
            <w:r>
              <w:rPr>
                <w:sz w:val="24"/>
              </w:rPr>
              <w:t>是否开工建设</w:t>
            </w:r>
          </w:p>
        </w:tc>
        <w:tc>
          <w:tcPr>
            <w:tcW w:w="1610" w:type="dxa"/>
            <w:vAlign w:val="center"/>
          </w:tcPr>
          <w:p>
            <w:pPr>
              <w:adjustRightInd w:val="0"/>
              <w:snapToGrid w:val="0"/>
              <w:jc w:val="center"/>
              <w:rPr>
                <w:sz w:val="24"/>
              </w:rPr>
            </w:pPr>
            <w:r>
              <w:rPr>
                <w:sz w:val="24"/>
              </w:rPr>
              <w:sym w:font="Wingdings 2" w:char="0052"/>
            </w:r>
            <w:r>
              <w:rPr>
                <w:sz w:val="24"/>
              </w:rPr>
              <w:t>否□是</w:t>
            </w:r>
          </w:p>
        </w:tc>
        <w:tc>
          <w:tcPr>
            <w:tcW w:w="2855" w:type="dxa"/>
            <w:tcMar>
              <w:top w:w="16" w:type="dxa"/>
              <w:left w:w="16" w:type="dxa"/>
              <w:right w:w="16" w:type="dxa"/>
            </w:tcMar>
            <w:vAlign w:val="center"/>
          </w:tcPr>
          <w:p>
            <w:pPr>
              <w:adjustRightInd w:val="0"/>
              <w:snapToGrid w:val="0"/>
              <w:jc w:val="center"/>
              <w:rPr>
                <w:sz w:val="24"/>
              </w:rPr>
            </w:pPr>
            <w:r>
              <w:rPr>
                <w:spacing w:val="-6"/>
                <w:sz w:val="24"/>
              </w:rPr>
              <w:t>用地面积（m</w:t>
            </w:r>
            <w:r>
              <w:rPr>
                <w:spacing w:val="-6"/>
                <w:sz w:val="24"/>
                <w:vertAlign w:val="superscript"/>
              </w:rPr>
              <w:t>2</w:t>
            </w:r>
            <w:r>
              <w:rPr>
                <w:spacing w:val="-6"/>
                <w:sz w:val="24"/>
              </w:rPr>
              <w:t>）</w:t>
            </w:r>
          </w:p>
        </w:tc>
        <w:tc>
          <w:tcPr>
            <w:tcW w:w="2860" w:type="dxa"/>
            <w:vAlign w:val="center"/>
          </w:tcPr>
          <w:p>
            <w:pPr>
              <w:adjustRightInd w:val="0"/>
              <w:snapToGrid w:val="0"/>
              <w:jc w:val="center"/>
              <w:rPr>
                <w:sz w:val="24"/>
              </w:rPr>
            </w:pPr>
            <w:r>
              <w:rPr>
                <w:sz w:val="24"/>
              </w:rPr>
              <w:t>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17" w:type="dxa"/>
            <w:vAlign w:val="center"/>
          </w:tcPr>
          <w:p>
            <w:pPr>
              <w:autoSpaceDE w:val="0"/>
              <w:autoSpaceDN w:val="0"/>
              <w:adjustRightInd w:val="0"/>
              <w:snapToGrid w:val="0"/>
              <w:jc w:val="center"/>
              <w:rPr>
                <w:kern w:val="0"/>
                <w:sz w:val="24"/>
              </w:rPr>
            </w:pPr>
            <w:r>
              <w:rPr>
                <w:kern w:val="0"/>
                <w:sz w:val="24"/>
              </w:rPr>
              <w:t>专项评价设置情况</w:t>
            </w:r>
          </w:p>
        </w:tc>
        <w:tc>
          <w:tcPr>
            <w:tcW w:w="7325" w:type="dxa"/>
            <w:gridSpan w:val="3"/>
            <w:vAlign w:val="center"/>
          </w:tcPr>
          <w:p>
            <w:pPr>
              <w:autoSpaceDE w:val="0"/>
              <w:autoSpaceDN w:val="0"/>
              <w:adjustRightInd w:val="0"/>
              <w:snapToGrid w:val="0"/>
              <w:jc w:val="center"/>
              <w:rPr>
                <w:kern w:val="0"/>
                <w:sz w:val="24"/>
              </w:rPr>
            </w:pPr>
            <w:r>
              <w:rPr>
                <w:kern w:val="0"/>
                <w:sz w:val="24"/>
              </w:rPr>
              <w:t>无，依据《建设项目环境影响报告表编制技术指南-污染影响类》专项评价设置原则表，本项目无需进行专项评价。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17" w:type="dxa"/>
            <w:vAlign w:val="center"/>
          </w:tcPr>
          <w:p>
            <w:pPr>
              <w:autoSpaceDE w:val="0"/>
              <w:autoSpaceDN w:val="0"/>
              <w:adjustRightInd w:val="0"/>
              <w:snapToGrid w:val="0"/>
              <w:jc w:val="center"/>
              <w:rPr>
                <w:kern w:val="0"/>
                <w:sz w:val="24"/>
              </w:rPr>
            </w:pPr>
            <w:r>
              <w:rPr>
                <w:sz w:val="24"/>
              </w:rPr>
              <w:t>规划情况</w:t>
            </w:r>
          </w:p>
        </w:tc>
        <w:tc>
          <w:tcPr>
            <w:tcW w:w="7325" w:type="dxa"/>
            <w:gridSpan w:val="3"/>
            <w:vAlign w:val="center"/>
          </w:tcPr>
          <w:p>
            <w:pPr>
              <w:autoSpaceDE w:val="0"/>
              <w:autoSpaceDN w:val="0"/>
              <w:adjustRightInd w:val="0"/>
              <w:snapToGrid w:val="0"/>
              <w:jc w:val="center"/>
              <w:rPr>
                <w:kern w:val="0"/>
                <w:sz w:val="24"/>
              </w:rPr>
            </w:pPr>
            <w:r>
              <w:rPr>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17" w:type="dxa"/>
            <w:vAlign w:val="center"/>
          </w:tcPr>
          <w:p>
            <w:pPr>
              <w:adjustRightInd w:val="0"/>
              <w:snapToGrid w:val="0"/>
              <w:jc w:val="center"/>
              <w:rPr>
                <w:sz w:val="24"/>
              </w:rPr>
            </w:pPr>
            <w:r>
              <w:rPr>
                <w:sz w:val="24"/>
              </w:rPr>
              <w:t>规划环境影响</w:t>
            </w:r>
          </w:p>
          <w:p>
            <w:pPr>
              <w:adjustRightInd w:val="0"/>
              <w:snapToGrid w:val="0"/>
              <w:jc w:val="center"/>
              <w:rPr>
                <w:kern w:val="0"/>
                <w:sz w:val="24"/>
              </w:rPr>
            </w:pPr>
            <w:r>
              <w:rPr>
                <w:sz w:val="24"/>
              </w:rPr>
              <w:t>评价情况</w:t>
            </w:r>
          </w:p>
        </w:tc>
        <w:tc>
          <w:tcPr>
            <w:tcW w:w="7325" w:type="dxa"/>
            <w:gridSpan w:val="3"/>
            <w:vAlign w:val="center"/>
          </w:tcPr>
          <w:p>
            <w:pPr>
              <w:autoSpaceDE w:val="0"/>
              <w:autoSpaceDN w:val="0"/>
              <w:adjustRightInd w:val="0"/>
              <w:snapToGrid w:val="0"/>
              <w:jc w:val="center"/>
              <w:rPr>
                <w:kern w:val="0"/>
                <w:sz w:val="24"/>
              </w:rPr>
            </w:pPr>
            <w:r>
              <w:rPr>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17" w:type="dxa"/>
            <w:vAlign w:val="center"/>
          </w:tcPr>
          <w:p>
            <w:pPr>
              <w:autoSpaceDE w:val="0"/>
              <w:autoSpaceDN w:val="0"/>
              <w:adjustRightInd w:val="0"/>
              <w:snapToGrid w:val="0"/>
              <w:jc w:val="center"/>
              <w:rPr>
                <w:kern w:val="0"/>
                <w:sz w:val="24"/>
              </w:rPr>
            </w:pPr>
            <w:r>
              <w:rPr>
                <w:kern w:val="0"/>
                <w:sz w:val="24"/>
              </w:rPr>
              <w:t>规划及规划环境</w:t>
            </w:r>
          </w:p>
          <w:p>
            <w:pPr>
              <w:autoSpaceDE w:val="0"/>
              <w:autoSpaceDN w:val="0"/>
              <w:adjustRightInd w:val="0"/>
              <w:snapToGrid w:val="0"/>
              <w:jc w:val="center"/>
              <w:rPr>
                <w:kern w:val="0"/>
                <w:sz w:val="24"/>
              </w:rPr>
            </w:pPr>
            <w:r>
              <w:rPr>
                <w:kern w:val="0"/>
                <w:sz w:val="24"/>
              </w:rPr>
              <w:t>影响评价符合性分析</w:t>
            </w:r>
          </w:p>
        </w:tc>
        <w:tc>
          <w:tcPr>
            <w:tcW w:w="7325" w:type="dxa"/>
            <w:gridSpan w:val="3"/>
            <w:vAlign w:val="center"/>
          </w:tcPr>
          <w:p>
            <w:pPr>
              <w:autoSpaceDE w:val="0"/>
              <w:autoSpaceDN w:val="0"/>
              <w:adjustRightInd w:val="0"/>
              <w:snapToGrid w:val="0"/>
              <w:jc w:val="center"/>
              <w:rPr>
                <w:kern w:val="0"/>
                <w:sz w:val="24"/>
              </w:rPr>
            </w:pPr>
            <w:r>
              <w:rPr>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25" w:hRule="atLeast"/>
          <w:jc w:val="center"/>
        </w:trPr>
        <w:tc>
          <w:tcPr>
            <w:tcW w:w="1917" w:type="dxa"/>
            <w:vAlign w:val="center"/>
          </w:tcPr>
          <w:p>
            <w:pPr>
              <w:autoSpaceDE w:val="0"/>
              <w:autoSpaceDN w:val="0"/>
              <w:adjustRightInd w:val="0"/>
              <w:snapToGrid w:val="0"/>
              <w:jc w:val="center"/>
              <w:rPr>
                <w:kern w:val="0"/>
                <w:sz w:val="24"/>
              </w:rPr>
            </w:pPr>
            <w:r>
              <w:rPr>
                <w:kern w:val="0"/>
                <w:sz w:val="24"/>
              </w:rPr>
              <w:t>其他符合性分析</w:t>
            </w:r>
          </w:p>
        </w:tc>
        <w:tc>
          <w:tcPr>
            <w:tcW w:w="7325" w:type="dxa"/>
            <w:gridSpan w:val="3"/>
            <w:vAlign w:val="center"/>
          </w:tcPr>
          <w:p>
            <w:pPr>
              <w:spacing w:line="360" w:lineRule="auto"/>
              <w:ind w:firstLine="482" w:firstLineChars="200"/>
              <w:rPr>
                <w:sz w:val="24"/>
              </w:rPr>
            </w:pPr>
            <w:r>
              <w:rPr>
                <w:b/>
                <w:bCs/>
                <w:sz w:val="24"/>
              </w:rPr>
              <w:t>1、“三线一单”符合性分析</w:t>
            </w:r>
          </w:p>
          <w:p>
            <w:pPr>
              <w:spacing w:line="360" w:lineRule="auto"/>
              <w:ind w:firstLine="480" w:firstLineChars="200"/>
              <w:rPr>
                <w:sz w:val="24"/>
              </w:rPr>
            </w:pPr>
            <w:r>
              <w:rPr>
                <w:sz w:val="24"/>
              </w:rPr>
              <w:t>为适应以改善环境质量为核心的环境管理要求，切实加强环境影响评价（以下简称环评）管理，落实“生态保护红线、环境质量底线、资源利用上线和</w:t>
            </w:r>
            <w:r>
              <w:rPr>
                <w:rFonts w:hint="eastAsia"/>
                <w:sz w:val="24"/>
                <w:lang w:val="en-US" w:eastAsia="zh-CN"/>
              </w:rPr>
              <w:t>生态环境准入</w:t>
            </w:r>
            <w:r>
              <w:rPr>
                <w:sz w:val="24"/>
              </w:rPr>
              <w:t>清单”（以下简称“三线一单”）约束，建立项目环评审批与规划环评、现有项目环境管理、区域环境质量联动机制（以下简称“三挂钩”机制），更好地发挥环评制度从源头防范环境污染和生态破坏的作用，特制定本项目的“三线一单”具体要求。</w:t>
            </w:r>
          </w:p>
          <w:p>
            <w:pPr>
              <w:spacing w:line="360" w:lineRule="auto"/>
              <w:ind w:firstLine="480" w:firstLineChars="200"/>
              <w:rPr>
                <w:sz w:val="24"/>
              </w:rPr>
            </w:pPr>
            <w:r>
              <w:rPr>
                <w:sz w:val="24"/>
              </w:rPr>
              <w:t>（1）环境质量底线相符性</w:t>
            </w:r>
          </w:p>
          <w:p>
            <w:pPr>
              <w:autoSpaceDE w:val="0"/>
              <w:autoSpaceDN w:val="0"/>
              <w:adjustRightInd w:val="0"/>
              <w:snapToGrid w:val="0"/>
              <w:spacing w:line="360" w:lineRule="auto"/>
              <w:ind w:firstLine="480" w:firstLineChars="200"/>
              <w:rPr>
                <w:rFonts w:ascii="Times New Roman" w:hAnsi="Times New Roman" w:cs="宋体"/>
                <w:color w:val="000000"/>
                <w:sz w:val="24"/>
              </w:rPr>
            </w:pPr>
            <w:r>
              <w:rPr>
                <w:rFonts w:hint="eastAsia" w:ascii="Times New Roman" w:hAnsi="Times New Roman" w:cs="宋体"/>
                <w:color w:val="000000"/>
                <w:sz w:val="24"/>
              </w:rPr>
              <w:t>根据云南省生态环境分区管控意见中的环境质量底线工作要求，环境质量底线的编制遵循环境质量“只能更好，不能变坏”的原则，衔接相关规划环境质量目标和限期达标要求，确定分区域、分流域、分阶段的环境质量底线目标，评估污染源排放与环境质量的相应关系，确定基于底线目标的污染物排放总量控制和重点区域环境管控要求。</w:t>
            </w:r>
          </w:p>
          <w:p>
            <w:pPr>
              <w:autoSpaceDE w:val="0"/>
              <w:autoSpaceDN w:val="0"/>
              <w:adjustRightInd w:val="0"/>
              <w:snapToGrid w:val="0"/>
              <w:spacing w:line="360" w:lineRule="auto"/>
              <w:ind w:firstLine="480" w:firstLineChars="200"/>
              <w:rPr>
                <w:rFonts w:ascii="Times New Roman" w:hAnsi="Times New Roman" w:cs="宋体"/>
                <w:color w:val="000000"/>
                <w:sz w:val="24"/>
              </w:rPr>
            </w:pPr>
            <w:r>
              <w:rPr>
                <w:rFonts w:ascii="Times New Roman" w:hAnsi="Times New Roman" w:cs="宋体"/>
                <w:color w:val="000000"/>
                <w:sz w:val="24"/>
              </w:rPr>
              <w:t>1）水环境质量底线</w:t>
            </w:r>
          </w:p>
          <w:p>
            <w:pPr>
              <w:autoSpaceDE w:val="0"/>
              <w:autoSpaceDN w:val="0"/>
              <w:adjustRightInd w:val="0"/>
              <w:snapToGrid w:val="0"/>
              <w:spacing w:line="360" w:lineRule="auto"/>
              <w:ind w:firstLine="480" w:firstLineChars="200"/>
              <w:rPr>
                <w:rFonts w:ascii="Times New Roman" w:hAnsi="Times New Roman" w:cs="宋体"/>
                <w:color w:val="000000"/>
                <w:sz w:val="24"/>
              </w:rPr>
            </w:pPr>
            <w:r>
              <w:rPr>
                <w:rFonts w:ascii="Times New Roman" w:hAnsi="Times New Roman" w:cs="宋体"/>
                <w:color w:val="000000"/>
                <w:sz w:val="24"/>
              </w:rPr>
              <w:t>根据《</w:t>
            </w:r>
            <w:r>
              <w:rPr>
                <w:rFonts w:hint="eastAsia" w:cs="宋体"/>
                <w:color w:val="000000"/>
                <w:sz w:val="24"/>
                <w:lang w:val="en-US" w:eastAsia="zh-CN"/>
              </w:rPr>
              <w:t>大理白族自治</w:t>
            </w:r>
            <w:r>
              <w:rPr>
                <w:rFonts w:ascii="Times New Roman" w:hAnsi="Times New Roman" w:cs="宋体"/>
                <w:color w:val="000000"/>
                <w:sz w:val="24"/>
              </w:rPr>
              <w:t>州人民政府办公室关于印发</w:t>
            </w:r>
            <w:r>
              <w:rPr>
                <w:rFonts w:hint="eastAsia" w:cs="宋体"/>
                <w:color w:val="000000"/>
                <w:sz w:val="24"/>
                <w:lang w:val="en-US" w:eastAsia="zh-CN"/>
              </w:rPr>
              <w:t>大理</w:t>
            </w:r>
            <w:r>
              <w:rPr>
                <w:rFonts w:ascii="Times New Roman" w:hAnsi="Times New Roman" w:cs="宋体"/>
                <w:color w:val="000000"/>
                <w:sz w:val="24"/>
              </w:rPr>
              <w:t>州“三线一单”生态环境分区管控实施方案的通知》（</w:t>
            </w:r>
            <w:r>
              <w:rPr>
                <w:rFonts w:hint="eastAsia" w:cs="宋体"/>
                <w:color w:val="000000"/>
                <w:sz w:val="24"/>
                <w:lang w:val="en-US" w:eastAsia="zh-CN"/>
              </w:rPr>
              <w:t>大</w:t>
            </w:r>
            <w:r>
              <w:rPr>
                <w:rFonts w:hint="eastAsia" w:ascii="Times New Roman" w:hAnsi="Times New Roman" w:cs="宋体"/>
                <w:color w:val="000000"/>
                <w:sz w:val="24"/>
              </w:rPr>
              <w:t>政发〔2021〕29号</w:t>
            </w:r>
            <w:r>
              <w:rPr>
                <w:rFonts w:ascii="Times New Roman" w:hAnsi="Times New Roman" w:cs="宋体"/>
                <w:color w:val="000000"/>
                <w:sz w:val="24"/>
              </w:rPr>
              <w:t>）中水环境质量底线要求：到</w:t>
            </w:r>
            <w:r>
              <w:rPr>
                <w:rFonts w:hint="eastAsia" w:ascii="Times New Roman" w:hAnsi="Times New Roman" w:cs="宋体"/>
                <w:color w:val="000000"/>
                <w:sz w:val="24"/>
              </w:rPr>
              <w:t>2025年，全州水环境质量明显改善，纳入考核的地表水Ⅲ类以上水体比例持续提高，洱海总体保持良好湖泊水质。到2035年，全州地表水体水质优良率全面提升，纳入考核监测断面水质达到水环境功能要求，洱海水质稳定向好；持续提升饮用水安全保障水平，重点区域重点流域水质改善，水生生态系统功能逐步恢复，实现生态系统良性循环。</w:t>
            </w:r>
          </w:p>
          <w:p>
            <w:pPr>
              <w:autoSpaceDE w:val="0"/>
              <w:autoSpaceDN w:val="0"/>
              <w:adjustRightInd w:val="0"/>
              <w:snapToGrid w:val="0"/>
              <w:spacing w:line="360" w:lineRule="auto"/>
              <w:ind w:firstLine="480" w:firstLineChars="200"/>
              <w:rPr>
                <w:rFonts w:ascii="Times New Roman" w:hAnsi="Times New Roman" w:cs="宋体"/>
                <w:color w:val="000000"/>
                <w:sz w:val="24"/>
              </w:rPr>
            </w:pPr>
            <w:r>
              <w:rPr>
                <w:rFonts w:hint="eastAsia" w:ascii="Times New Roman" w:hAnsi="Times New Roman" w:cs="宋体"/>
                <w:color w:val="000000"/>
                <w:sz w:val="24"/>
              </w:rPr>
              <w:t>本项目</w:t>
            </w:r>
            <w:r>
              <w:rPr>
                <w:rFonts w:ascii="Times New Roman" w:hAnsi="Times New Roman" w:cs="宋体"/>
                <w:color w:val="000000"/>
                <w:sz w:val="24"/>
              </w:rPr>
              <w:t>周边地表水为</w:t>
            </w:r>
            <w:r>
              <w:rPr>
                <w:rFonts w:hint="eastAsia" w:cs="宋体"/>
                <w:color w:val="000000"/>
                <w:sz w:val="24"/>
                <w:lang w:val="en-US" w:eastAsia="zh-CN"/>
              </w:rPr>
              <w:t>沘江河</w:t>
            </w:r>
            <w:r>
              <w:rPr>
                <w:rFonts w:hint="eastAsia" w:ascii="Times New Roman" w:hAnsi="Times New Roman" w:cs="宋体"/>
                <w:color w:val="000000"/>
                <w:sz w:val="24"/>
              </w:rPr>
              <w:t>，根据《云南省水功能区划》（2014年修订），沘江云龙保留区：由云龙县白石至入澜沧江口，全长96.5km。沿江有象图河、大达溪、松弄溪、炼箐河、师里河等支流注入。现状水质为超Ⅴ类，主要超标污染物为：铅、锌、镉、铜、六价铬等，规划水平年水质目标为Ⅲ类，执行《地表水环境质量标准》（GB3838-2002）Ⅲ类标准。</w:t>
            </w:r>
          </w:p>
          <w:p>
            <w:pPr>
              <w:spacing w:line="360" w:lineRule="auto"/>
              <w:ind w:firstLine="480" w:firstLineChars="200"/>
              <w:rPr>
                <w:color w:val="auto"/>
                <w:sz w:val="24"/>
              </w:rPr>
            </w:pPr>
            <w:r>
              <w:rPr>
                <w:color w:val="auto"/>
                <w:sz w:val="24"/>
              </w:rPr>
              <w:t>根据大理州人民政府网公布的《大理白族自治州2020年环境状况公报》（2021年6月7日）：项目所涉及的沘江共有三个监测断面-沘江金鸡桥断面、沘江石门断面、沘江大练登断面，三处监测断面水质类别可达到Ⅲ类标准要求，因此沘江（</w:t>
            </w:r>
            <w:r>
              <w:rPr>
                <w:rFonts w:hint="eastAsia"/>
                <w:color w:val="auto"/>
                <w:sz w:val="24"/>
              </w:rPr>
              <w:t>由云龙县白石至入澜沧江口</w:t>
            </w:r>
            <w:r>
              <w:rPr>
                <w:color w:val="auto"/>
                <w:sz w:val="24"/>
              </w:rPr>
              <w:t>）河段满足《地表水环境质量标准》（GB3838-2002）</w:t>
            </w:r>
            <w:r>
              <w:rPr>
                <w:rFonts w:hint="eastAsia"/>
                <w:color w:val="auto"/>
                <w:sz w:val="24"/>
              </w:rPr>
              <w:t>Ⅲ</w:t>
            </w:r>
            <w:r>
              <w:rPr>
                <w:color w:val="auto"/>
                <w:sz w:val="24"/>
              </w:rPr>
              <w:t>类标准要求，为水环境质量达标区。</w:t>
            </w:r>
          </w:p>
          <w:p>
            <w:pPr>
              <w:autoSpaceDE w:val="0"/>
              <w:autoSpaceDN w:val="0"/>
              <w:adjustRightInd w:val="0"/>
              <w:snapToGrid w:val="0"/>
              <w:spacing w:line="360" w:lineRule="auto"/>
              <w:ind w:firstLine="480" w:firstLineChars="200"/>
              <w:rPr>
                <w:rFonts w:ascii="Times New Roman" w:hAnsi="Times New Roman" w:cs="宋体"/>
                <w:color w:val="000000"/>
                <w:sz w:val="24"/>
              </w:rPr>
            </w:pPr>
            <w:r>
              <w:rPr>
                <w:rFonts w:ascii="Times New Roman" w:hAnsi="Times New Roman" w:cs="宋体"/>
                <w:color w:val="000000"/>
                <w:sz w:val="24"/>
              </w:rPr>
              <w:t>本项目实施后，生产生活废污水均处理后回用，无外排污水，对该区域水环境基本不产生影响，故</w:t>
            </w:r>
            <w:r>
              <w:rPr>
                <w:rFonts w:hint="eastAsia" w:ascii="Times New Roman" w:hAnsi="Times New Roman" w:cs="宋体"/>
                <w:color w:val="000000"/>
                <w:sz w:val="24"/>
              </w:rPr>
              <w:t>不会</w:t>
            </w:r>
            <w:r>
              <w:rPr>
                <w:rFonts w:ascii="Times New Roman" w:hAnsi="Times New Roman" w:cs="宋体"/>
                <w:color w:val="000000"/>
                <w:sz w:val="24"/>
              </w:rPr>
              <w:t>突破</w:t>
            </w:r>
            <w:r>
              <w:rPr>
                <w:rFonts w:hint="eastAsia" w:cs="宋体"/>
                <w:color w:val="000000"/>
                <w:sz w:val="24"/>
                <w:lang w:val="en-US" w:eastAsia="zh-CN"/>
              </w:rPr>
              <w:t>云龙</w:t>
            </w:r>
            <w:r>
              <w:rPr>
                <w:rFonts w:ascii="Times New Roman" w:hAnsi="Times New Roman" w:cs="宋体"/>
                <w:color w:val="000000"/>
                <w:sz w:val="24"/>
              </w:rPr>
              <w:t>县水环境</w:t>
            </w:r>
            <w:r>
              <w:rPr>
                <w:rFonts w:hint="eastAsia" w:ascii="Times New Roman" w:hAnsi="Times New Roman" w:cs="宋体"/>
                <w:color w:val="000000"/>
                <w:sz w:val="24"/>
              </w:rPr>
              <w:t>质量底线。</w:t>
            </w:r>
          </w:p>
          <w:p>
            <w:pPr>
              <w:autoSpaceDE w:val="0"/>
              <w:autoSpaceDN w:val="0"/>
              <w:adjustRightInd w:val="0"/>
              <w:snapToGrid w:val="0"/>
              <w:spacing w:line="360" w:lineRule="auto"/>
              <w:ind w:firstLine="480" w:firstLineChars="200"/>
              <w:rPr>
                <w:rFonts w:ascii="Times New Roman" w:hAnsi="Times New Roman" w:cs="宋体"/>
                <w:color w:val="000000"/>
                <w:sz w:val="24"/>
              </w:rPr>
            </w:pPr>
            <w:r>
              <w:rPr>
                <w:rFonts w:ascii="Times New Roman" w:hAnsi="Times New Roman" w:cs="宋体"/>
                <w:color w:val="000000"/>
                <w:sz w:val="24"/>
              </w:rPr>
              <w:t>2）大气环境质量底线</w:t>
            </w:r>
          </w:p>
          <w:p>
            <w:pPr>
              <w:autoSpaceDE w:val="0"/>
              <w:autoSpaceDN w:val="0"/>
              <w:adjustRightInd w:val="0"/>
              <w:snapToGrid w:val="0"/>
              <w:spacing w:line="360" w:lineRule="auto"/>
              <w:ind w:firstLine="480" w:firstLineChars="200"/>
              <w:rPr>
                <w:rFonts w:ascii="Times New Roman" w:hAnsi="Times New Roman" w:cs="宋体"/>
                <w:color w:val="000000"/>
                <w:sz w:val="24"/>
              </w:rPr>
            </w:pPr>
            <w:r>
              <w:rPr>
                <w:rFonts w:ascii="Times New Roman" w:hAnsi="Times New Roman" w:cs="宋体"/>
                <w:color w:val="000000"/>
                <w:sz w:val="24"/>
              </w:rPr>
              <w:t>根据《</w:t>
            </w:r>
            <w:r>
              <w:rPr>
                <w:rFonts w:hint="eastAsia" w:ascii="Times New Roman" w:hAnsi="Times New Roman" w:cs="宋体"/>
                <w:color w:val="000000"/>
                <w:sz w:val="24"/>
                <w:lang w:val="en-US" w:eastAsia="zh-CN"/>
              </w:rPr>
              <w:t>大理白族自治</w:t>
            </w:r>
            <w:r>
              <w:rPr>
                <w:rFonts w:ascii="Times New Roman" w:hAnsi="Times New Roman" w:cs="宋体"/>
                <w:color w:val="000000"/>
                <w:sz w:val="24"/>
              </w:rPr>
              <w:t>州人民政府办公室关于印发</w:t>
            </w:r>
            <w:r>
              <w:rPr>
                <w:rFonts w:hint="eastAsia" w:ascii="Times New Roman" w:hAnsi="Times New Roman" w:cs="宋体"/>
                <w:color w:val="000000"/>
                <w:sz w:val="24"/>
                <w:lang w:val="en-US" w:eastAsia="zh-CN"/>
              </w:rPr>
              <w:t>大理</w:t>
            </w:r>
            <w:r>
              <w:rPr>
                <w:rFonts w:ascii="Times New Roman" w:hAnsi="Times New Roman" w:cs="宋体"/>
                <w:color w:val="000000"/>
                <w:sz w:val="24"/>
              </w:rPr>
              <w:t>州“三线一单”生态环境分区管控实施方案的通知》（</w:t>
            </w:r>
            <w:r>
              <w:rPr>
                <w:rFonts w:hint="eastAsia" w:ascii="Times New Roman" w:hAnsi="Times New Roman" w:cs="宋体"/>
                <w:color w:val="000000"/>
                <w:sz w:val="24"/>
                <w:lang w:val="en-US" w:eastAsia="zh-CN"/>
              </w:rPr>
              <w:t>大</w:t>
            </w:r>
            <w:r>
              <w:rPr>
                <w:rFonts w:hint="eastAsia" w:ascii="Times New Roman" w:hAnsi="Times New Roman" w:cs="宋体"/>
                <w:color w:val="000000"/>
                <w:sz w:val="24"/>
              </w:rPr>
              <w:t>政发〔2021〕29号</w:t>
            </w:r>
            <w:r>
              <w:rPr>
                <w:rFonts w:ascii="Times New Roman" w:hAnsi="Times New Roman" w:cs="宋体"/>
                <w:color w:val="000000"/>
                <w:sz w:val="24"/>
              </w:rPr>
              <w:t>）中大气环境质量底线要求：到</w:t>
            </w:r>
            <w:r>
              <w:rPr>
                <w:rFonts w:hint="eastAsia" w:ascii="Times New Roman" w:hAnsi="Times New Roman" w:cs="宋体"/>
                <w:color w:val="000000"/>
                <w:sz w:val="24"/>
              </w:rPr>
              <w:t>2025年全州城市环境空气质量稳定，完成省下达的大气污染物总量控制指标。到2035年全州城市环境空气质量优中更优，完成省下达的大气污染物总量控制指标</w:t>
            </w:r>
            <w:r>
              <w:rPr>
                <w:rFonts w:ascii="Times New Roman" w:hAnsi="Times New Roman" w:cs="宋体"/>
                <w:color w:val="000000"/>
                <w:sz w:val="24"/>
              </w:rPr>
              <w:t>。</w:t>
            </w:r>
          </w:p>
          <w:p>
            <w:pPr>
              <w:autoSpaceDE w:val="0"/>
              <w:autoSpaceDN w:val="0"/>
              <w:adjustRightInd w:val="0"/>
              <w:snapToGrid w:val="0"/>
              <w:spacing w:line="360" w:lineRule="auto"/>
              <w:ind w:firstLine="480" w:firstLineChars="200"/>
              <w:rPr>
                <w:rFonts w:ascii="Times New Roman" w:hAnsi="Times New Roman" w:cs="宋体"/>
                <w:color w:val="000000"/>
                <w:sz w:val="24"/>
              </w:rPr>
            </w:pPr>
            <w:r>
              <w:rPr>
                <w:rFonts w:ascii="Times New Roman" w:hAnsi="Times New Roman" w:cs="宋体"/>
                <w:color w:val="000000"/>
                <w:sz w:val="24"/>
              </w:rPr>
              <w:t>根据大理州人民政府网公布的《大理白族自治州2020年环境状况公报》：</w:t>
            </w:r>
          </w:p>
          <w:p>
            <w:pPr>
              <w:autoSpaceDE w:val="0"/>
              <w:autoSpaceDN w:val="0"/>
              <w:adjustRightInd w:val="0"/>
              <w:snapToGrid w:val="0"/>
              <w:spacing w:line="360" w:lineRule="auto"/>
              <w:ind w:firstLine="480" w:firstLineChars="200"/>
              <w:rPr>
                <w:rFonts w:ascii="宋体" w:hAnsi="宋体" w:cs="宋体"/>
                <w:color w:val="000000"/>
                <w:sz w:val="24"/>
              </w:rPr>
            </w:pPr>
            <w:r>
              <w:rPr>
                <w:rFonts w:ascii="Times New Roman" w:hAnsi="Times New Roman" w:cs="宋体"/>
                <w:color w:val="000000"/>
                <w:sz w:val="24"/>
              </w:rPr>
              <w:t>2020年，全州环境空气质量总体保持良好。12个县（市）年评价结果均符合环境空气质量二级标准；按日均值评价，12个县（市）优良天数比例在99.5%～100%之间，其中大理市优良天数比例为99.7%，出现轻度污染1天，超标污染物为臭氧。宾川、弥渡、巍山、南涧、祥云、洱源、鹤庆7个县优良天数比例均为100%，全州平均优良天数比例为99.81%。因此，</w:t>
            </w:r>
            <w:r>
              <w:rPr>
                <w:rFonts w:hint="eastAsia" w:cs="宋体"/>
                <w:color w:val="000000"/>
                <w:sz w:val="24"/>
                <w:lang w:val="en-US" w:eastAsia="zh-CN"/>
              </w:rPr>
              <w:t>云龙</w:t>
            </w:r>
            <w:r>
              <w:rPr>
                <w:rFonts w:hint="eastAsia" w:ascii="Times New Roman" w:hAnsi="Times New Roman" w:cs="宋体"/>
                <w:color w:val="000000"/>
                <w:sz w:val="24"/>
              </w:rPr>
              <w:t>县</w:t>
            </w:r>
            <w:r>
              <w:rPr>
                <w:rFonts w:ascii="Times New Roman" w:hAnsi="Times New Roman" w:cs="宋体"/>
                <w:color w:val="000000"/>
                <w:sz w:val="24"/>
              </w:rPr>
              <w:t>在</w:t>
            </w:r>
            <w:r>
              <w:rPr>
                <w:rFonts w:hint="eastAsia" w:ascii="Times New Roman" w:hAnsi="Times New Roman" w:cs="宋体"/>
                <w:color w:val="000000"/>
                <w:sz w:val="24"/>
              </w:rPr>
              <w:t>2020</w:t>
            </w:r>
            <w:r>
              <w:rPr>
                <w:rFonts w:ascii="Times New Roman" w:hAnsi="Times New Roman" w:cs="宋体"/>
                <w:color w:val="000000"/>
                <w:sz w:val="24"/>
              </w:rPr>
              <w:t>年内为环境空气质量达标区。本工程实施后，在施工过程中会施工开挖、物料运输等会对大气环境产生一定的影响，但随着施工结束，这些影响将消失</w:t>
            </w:r>
            <w:r>
              <w:rPr>
                <w:rFonts w:hint="eastAsia" w:cs="宋体"/>
                <w:color w:val="000000"/>
                <w:sz w:val="24"/>
                <w:lang w:eastAsia="zh-CN"/>
              </w:rPr>
              <w:t>；</w:t>
            </w:r>
            <w:r>
              <w:rPr>
                <w:rFonts w:hint="eastAsia" w:cs="宋体"/>
                <w:color w:val="000000"/>
                <w:sz w:val="24"/>
                <w:lang w:val="en-US" w:eastAsia="zh-CN"/>
              </w:rPr>
              <w:t>运营期</w:t>
            </w:r>
            <w:r>
              <w:rPr>
                <w:rFonts w:hint="eastAsia" w:cs="宋体"/>
                <w:color w:val="000000"/>
                <w:sz w:val="24"/>
                <w:lang w:eastAsia="zh-CN"/>
              </w:rPr>
              <w:t>砂石料堆场采用无纺布遮盖，并对堆场喷雾降尘及车间密闭；砂石装卸过程采取喷雾降尘的方式减小起尘量；项目砂石原料破碎工段设置喷淋装置，采取湿法破碎工艺进行破碎，打砂过程采用喷淋降尘作业的措施；运输扬尘采取喷雾降尘措施并及时清扫道路，</w:t>
            </w:r>
            <w:r>
              <w:rPr>
                <w:rFonts w:ascii="Times New Roman" w:hAnsi="Times New Roman" w:cs="宋体"/>
                <w:color w:val="000000"/>
                <w:sz w:val="24"/>
              </w:rPr>
              <w:t>总体对大气环境影响不大，</w:t>
            </w:r>
            <w:r>
              <w:rPr>
                <w:rFonts w:hint="eastAsia" w:ascii="Times New Roman" w:hAnsi="Times New Roman" w:cs="宋体"/>
                <w:color w:val="000000"/>
                <w:sz w:val="24"/>
              </w:rPr>
              <w:t>不会</w:t>
            </w:r>
            <w:r>
              <w:rPr>
                <w:rFonts w:ascii="Times New Roman" w:hAnsi="Times New Roman" w:cs="宋体"/>
                <w:color w:val="000000"/>
                <w:sz w:val="24"/>
              </w:rPr>
              <w:t>突破</w:t>
            </w:r>
            <w:r>
              <w:rPr>
                <w:rFonts w:hint="eastAsia" w:cs="宋体"/>
                <w:color w:val="000000"/>
                <w:sz w:val="24"/>
                <w:lang w:val="en-US" w:eastAsia="zh-CN"/>
              </w:rPr>
              <w:t>云龙</w:t>
            </w:r>
            <w:r>
              <w:rPr>
                <w:rFonts w:ascii="Times New Roman" w:hAnsi="Times New Roman" w:cs="宋体"/>
                <w:color w:val="000000"/>
                <w:sz w:val="24"/>
              </w:rPr>
              <w:t>县大气环境质量底线。</w:t>
            </w:r>
          </w:p>
          <w:p>
            <w:pPr>
              <w:autoSpaceDE w:val="0"/>
              <w:autoSpaceDN w:val="0"/>
              <w:adjustRightInd w:val="0"/>
              <w:snapToGrid w:val="0"/>
              <w:spacing w:line="360" w:lineRule="auto"/>
              <w:ind w:firstLine="480" w:firstLineChars="200"/>
              <w:rPr>
                <w:rFonts w:ascii="Times New Roman" w:hAnsi="Times New Roman" w:cs="宋体"/>
                <w:color w:val="auto"/>
                <w:sz w:val="24"/>
              </w:rPr>
            </w:pPr>
            <w:r>
              <w:rPr>
                <w:rFonts w:ascii="Times New Roman" w:hAnsi="Times New Roman" w:cs="宋体"/>
                <w:color w:val="auto"/>
                <w:sz w:val="24"/>
              </w:rPr>
              <w:t>3）声环境质量底线</w:t>
            </w:r>
          </w:p>
          <w:p>
            <w:pPr>
              <w:autoSpaceDE w:val="0"/>
              <w:autoSpaceDN w:val="0"/>
              <w:adjustRightInd w:val="0"/>
              <w:snapToGrid w:val="0"/>
              <w:spacing w:line="360" w:lineRule="auto"/>
              <w:ind w:firstLine="480" w:firstLineChars="200"/>
              <w:rPr>
                <w:rFonts w:ascii="Times New Roman" w:hAnsi="Times New Roman" w:cs="宋体"/>
                <w:color w:val="auto"/>
                <w:sz w:val="24"/>
              </w:rPr>
            </w:pPr>
            <w:r>
              <w:rPr>
                <w:color w:val="auto"/>
                <w:sz w:val="24"/>
              </w:rPr>
              <w:t>本项目位于农村地区，东侧为G215。区域内的主要噪声源为公路上过往车辆产生的交通噪声。项目所在地为农村地区，项目区域可达到《声环境质量标准》(GB3096-2008)中2类标准</w:t>
            </w:r>
            <w:r>
              <w:rPr>
                <w:rFonts w:hint="eastAsia"/>
                <w:color w:val="auto"/>
                <w:sz w:val="24"/>
                <w:lang w:eastAsia="zh-CN"/>
              </w:rPr>
              <w:t>。本项目在营运期的噪声主要为机械设备运行噪声。项目在生产加工区实行全封闭彩钢棚措施，针对高噪声设备实行半地埋式安装。在设计上选用技术先进的低噪声设备和对声源实施合理布设，按照工业设备安装的有关规范，采用减振降噪装置，选用低噪声设备，在设备运行时，加强设备的维修与日常保养，使之正常运转，</w:t>
            </w:r>
            <w:r>
              <w:rPr>
                <w:rFonts w:hint="eastAsia"/>
                <w:color w:val="auto"/>
                <w:sz w:val="24"/>
                <w:lang w:val="en-US" w:eastAsia="zh-CN"/>
              </w:rPr>
              <w:t>采取以上措施后项目在运营期</w:t>
            </w:r>
            <w:r>
              <w:rPr>
                <w:rFonts w:hint="eastAsia" w:ascii="Times New Roman" w:hAnsi="Times New Roman" w:cs="宋体"/>
                <w:color w:val="auto"/>
                <w:sz w:val="24"/>
              </w:rPr>
              <w:t>不会</w:t>
            </w:r>
            <w:r>
              <w:rPr>
                <w:rFonts w:ascii="Times New Roman" w:hAnsi="Times New Roman" w:cs="宋体"/>
                <w:color w:val="auto"/>
                <w:sz w:val="24"/>
              </w:rPr>
              <w:t>突破</w:t>
            </w:r>
            <w:r>
              <w:rPr>
                <w:rFonts w:hint="eastAsia" w:cs="宋体"/>
                <w:color w:val="auto"/>
                <w:sz w:val="24"/>
                <w:lang w:val="en-US" w:eastAsia="zh-CN"/>
              </w:rPr>
              <w:t>云龙</w:t>
            </w:r>
            <w:r>
              <w:rPr>
                <w:rFonts w:ascii="Times New Roman" w:hAnsi="Times New Roman" w:cs="宋体"/>
                <w:color w:val="auto"/>
                <w:sz w:val="24"/>
              </w:rPr>
              <w:t>县声环境质量底线。</w:t>
            </w:r>
          </w:p>
          <w:p>
            <w:pPr>
              <w:autoSpaceDE w:val="0"/>
              <w:autoSpaceDN w:val="0"/>
              <w:adjustRightInd w:val="0"/>
              <w:snapToGrid w:val="0"/>
              <w:spacing w:line="360" w:lineRule="auto"/>
              <w:ind w:firstLine="480" w:firstLineChars="200"/>
              <w:rPr>
                <w:rFonts w:ascii="Times New Roman" w:hAnsi="Times New Roman" w:cs="宋体"/>
                <w:color w:val="000000"/>
                <w:sz w:val="24"/>
              </w:rPr>
            </w:pPr>
            <w:r>
              <w:rPr>
                <w:rFonts w:ascii="Times New Roman" w:hAnsi="Times New Roman" w:cs="宋体"/>
                <w:color w:val="000000"/>
                <w:sz w:val="24"/>
              </w:rPr>
              <w:t>4）土壤环境风险防控底线</w:t>
            </w:r>
          </w:p>
          <w:p>
            <w:pPr>
              <w:autoSpaceDE w:val="0"/>
              <w:autoSpaceDN w:val="0"/>
              <w:adjustRightInd w:val="0"/>
              <w:snapToGrid w:val="0"/>
              <w:spacing w:line="360" w:lineRule="auto"/>
              <w:ind w:firstLine="480" w:firstLineChars="200"/>
              <w:rPr>
                <w:rFonts w:ascii="Times New Roman" w:hAnsi="Times New Roman" w:cs="宋体"/>
                <w:color w:val="000000"/>
                <w:sz w:val="24"/>
              </w:rPr>
            </w:pPr>
            <w:r>
              <w:rPr>
                <w:rFonts w:ascii="Times New Roman" w:hAnsi="Times New Roman" w:cs="宋体"/>
                <w:color w:val="000000"/>
                <w:sz w:val="24"/>
              </w:rPr>
              <w:t>根据《</w:t>
            </w:r>
            <w:r>
              <w:rPr>
                <w:rFonts w:hint="eastAsia" w:ascii="Times New Roman" w:hAnsi="Times New Roman" w:cs="宋体"/>
                <w:color w:val="000000"/>
                <w:sz w:val="24"/>
                <w:lang w:val="en-US" w:eastAsia="zh-CN"/>
              </w:rPr>
              <w:t>大理白族自治</w:t>
            </w:r>
            <w:r>
              <w:rPr>
                <w:rFonts w:ascii="Times New Roman" w:hAnsi="Times New Roman" w:cs="宋体"/>
                <w:color w:val="000000"/>
                <w:sz w:val="24"/>
              </w:rPr>
              <w:t>州人民政府办公室关于印发</w:t>
            </w:r>
            <w:r>
              <w:rPr>
                <w:rFonts w:hint="eastAsia" w:ascii="Times New Roman" w:hAnsi="Times New Roman" w:cs="宋体"/>
                <w:color w:val="000000"/>
                <w:sz w:val="24"/>
                <w:lang w:val="en-US" w:eastAsia="zh-CN"/>
              </w:rPr>
              <w:t>大理</w:t>
            </w:r>
            <w:r>
              <w:rPr>
                <w:rFonts w:ascii="Times New Roman" w:hAnsi="Times New Roman" w:cs="宋体"/>
                <w:color w:val="000000"/>
                <w:sz w:val="24"/>
              </w:rPr>
              <w:t>州“三线一单”生态环境分区管控实施方案的通知》（</w:t>
            </w:r>
            <w:r>
              <w:rPr>
                <w:rFonts w:hint="eastAsia" w:ascii="Times New Roman" w:hAnsi="Times New Roman" w:cs="宋体"/>
                <w:color w:val="000000"/>
                <w:sz w:val="24"/>
                <w:lang w:val="en-US" w:eastAsia="zh-CN"/>
              </w:rPr>
              <w:t>大</w:t>
            </w:r>
            <w:r>
              <w:rPr>
                <w:rFonts w:hint="eastAsia" w:ascii="Times New Roman" w:hAnsi="Times New Roman" w:cs="宋体"/>
                <w:color w:val="000000"/>
                <w:sz w:val="24"/>
              </w:rPr>
              <w:t>政发〔2021〕29号</w:t>
            </w:r>
            <w:r>
              <w:rPr>
                <w:rFonts w:ascii="Times New Roman" w:hAnsi="Times New Roman" w:cs="宋体"/>
                <w:color w:val="000000"/>
                <w:sz w:val="24"/>
              </w:rPr>
              <w:t>）中土壤环境风险防控底线要求：</w:t>
            </w:r>
            <w:r>
              <w:rPr>
                <w:rFonts w:hint="eastAsia" w:ascii="Times New Roman" w:hAnsi="Times New Roman" w:cs="宋体"/>
                <w:color w:val="000000"/>
                <w:sz w:val="24"/>
              </w:rPr>
              <w:t>到2025年，土壤环境风险防范体系进一步完善，受污染耕地安全利用率和污染地块安全利用率进一步提高。到2035年，土壤环境质量稳中向好，农用地和建设用地土壤环境安全得到有效保障，土壤环境风险得到全面管控</w:t>
            </w:r>
            <w:r>
              <w:rPr>
                <w:rFonts w:ascii="Times New Roman" w:hAnsi="Times New Roman" w:cs="宋体"/>
                <w:color w:val="000000"/>
                <w:sz w:val="24"/>
              </w:rPr>
              <w:t>。</w:t>
            </w:r>
          </w:p>
          <w:p>
            <w:pPr>
              <w:autoSpaceDE w:val="0"/>
              <w:autoSpaceDN w:val="0"/>
              <w:adjustRightInd w:val="0"/>
              <w:snapToGrid w:val="0"/>
              <w:spacing w:line="360" w:lineRule="auto"/>
              <w:ind w:firstLine="480" w:firstLineChars="200"/>
              <w:rPr>
                <w:rFonts w:ascii="Times New Roman" w:hAnsi="Times New Roman" w:cs="宋体"/>
                <w:color w:val="000000"/>
                <w:sz w:val="24"/>
              </w:rPr>
            </w:pPr>
            <w:r>
              <w:rPr>
                <w:rFonts w:hint="eastAsia" w:ascii="Times New Roman" w:hAnsi="Times New Roman" w:cs="宋体"/>
                <w:color w:val="000000"/>
                <w:sz w:val="24"/>
              </w:rPr>
              <w:t>本项目为砖瓦、石材等建筑材料制造项目，占地面积为</w:t>
            </w:r>
            <w:r>
              <w:rPr>
                <w:rFonts w:hint="eastAsia" w:cs="宋体"/>
                <w:color w:val="000000"/>
                <w:sz w:val="24"/>
                <w:lang w:val="en-US" w:eastAsia="zh-CN"/>
              </w:rPr>
              <w:t>45000</w:t>
            </w:r>
            <w:r>
              <w:rPr>
                <w:rFonts w:ascii="Times New Roman" w:hAnsi="Times New Roman" w:cs="宋体"/>
                <w:color w:val="000000"/>
                <w:sz w:val="24"/>
              </w:rPr>
              <w:t>m</w:t>
            </w:r>
            <w:r>
              <w:rPr>
                <w:rFonts w:ascii="Times New Roman" w:hAnsi="Times New Roman" w:cs="宋体"/>
                <w:color w:val="000000"/>
                <w:sz w:val="24"/>
                <w:vertAlign w:val="superscript"/>
              </w:rPr>
              <w:t>2</w:t>
            </w:r>
            <w:r>
              <w:rPr>
                <w:rFonts w:hint="eastAsia" w:ascii="Times New Roman" w:hAnsi="Times New Roman" w:cs="宋体"/>
                <w:color w:val="000000"/>
                <w:sz w:val="24"/>
              </w:rPr>
              <w:t>，项目用地不占用基本农田</w:t>
            </w:r>
            <w:r>
              <w:rPr>
                <w:rFonts w:hint="eastAsia" w:cs="宋体"/>
                <w:color w:val="000000"/>
                <w:sz w:val="24"/>
                <w:lang w:eastAsia="zh-CN"/>
              </w:rPr>
              <w:t>，</w:t>
            </w:r>
            <w:r>
              <w:rPr>
                <w:rFonts w:hint="eastAsia" w:ascii="Times New Roman" w:hAnsi="Times New Roman" w:cs="宋体"/>
                <w:color w:val="000000"/>
                <w:sz w:val="24"/>
              </w:rPr>
              <w:t>项目建设不会造成区域土壤质量降低。</w:t>
            </w:r>
          </w:p>
          <w:p>
            <w:pPr>
              <w:autoSpaceDE w:val="0"/>
              <w:autoSpaceDN w:val="0"/>
              <w:adjustRightInd w:val="0"/>
              <w:snapToGrid w:val="0"/>
              <w:spacing w:line="360" w:lineRule="auto"/>
              <w:ind w:firstLine="480" w:firstLineChars="200"/>
              <w:rPr>
                <w:rFonts w:ascii="Times New Roman" w:hAnsi="Times New Roman" w:cs="宋体"/>
                <w:color w:val="000000"/>
                <w:sz w:val="24"/>
              </w:rPr>
            </w:pPr>
            <w:r>
              <w:rPr>
                <w:rFonts w:hint="eastAsia" w:ascii="Times New Roman" w:hAnsi="Times New Roman" w:cs="宋体"/>
                <w:color w:val="000000"/>
                <w:sz w:val="24"/>
              </w:rPr>
              <w:t>综上所述，本项目建设后营运期产生的各项污染物通过相应的治理措施处理后均可达标排放，本项目环境风险可控制在安全范围内，因此，本项目的建设对区域环境质量影响较小，不会突破区域的环境质量底线。</w:t>
            </w:r>
          </w:p>
          <w:p>
            <w:pPr>
              <w:spacing w:line="360" w:lineRule="auto"/>
              <w:ind w:firstLine="480" w:firstLineChars="200"/>
              <w:rPr>
                <w:sz w:val="24"/>
              </w:rPr>
            </w:pPr>
            <w:r>
              <w:rPr>
                <w:sz w:val="24"/>
              </w:rPr>
              <w:t>（2）生态保护红线相符性</w:t>
            </w:r>
          </w:p>
          <w:p>
            <w:pPr>
              <w:spacing w:line="360" w:lineRule="auto"/>
              <w:ind w:firstLine="480" w:firstLineChars="200"/>
              <w:rPr>
                <w:rFonts w:hint="eastAsia" w:ascii="Times New Roman" w:hAnsi="Times New Roman" w:cs="宋体"/>
                <w:color w:val="000000"/>
                <w:sz w:val="24"/>
              </w:rPr>
            </w:pPr>
            <w:r>
              <w:rPr>
                <w:sz w:val="24"/>
              </w:rPr>
              <w:t>建设项目选址位云南省大理白族自治州云龙县白石镇中和村，根据云龙县自然资源局出具的《云龙县生态红线查询表》：项目用地未压占云龙县生态保护红线。</w:t>
            </w:r>
          </w:p>
          <w:p>
            <w:pPr>
              <w:autoSpaceDE w:val="0"/>
              <w:autoSpaceDN w:val="0"/>
              <w:adjustRightInd w:val="0"/>
              <w:snapToGrid w:val="0"/>
              <w:spacing w:line="360" w:lineRule="auto"/>
              <w:ind w:firstLine="480" w:firstLineChars="200"/>
              <w:rPr>
                <w:rFonts w:ascii="Times New Roman" w:hAnsi="Times New Roman" w:cs="宋体"/>
                <w:color w:val="000000"/>
                <w:sz w:val="24"/>
              </w:rPr>
            </w:pPr>
            <w:r>
              <w:rPr>
                <w:rFonts w:hint="eastAsia" w:ascii="Times New Roman" w:hAnsi="Times New Roman" w:cs="宋体"/>
                <w:color w:val="000000"/>
                <w:sz w:val="24"/>
              </w:rPr>
              <w:t>（</w:t>
            </w:r>
            <w:r>
              <w:rPr>
                <w:rFonts w:ascii="Times New Roman" w:hAnsi="Times New Roman" w:cs="宋体"/>
                <w:color w:val="000000"/>
                <w:sz w:val="24"/>
              </w:rPr>
              <w:t>3）与资源利用上线的协调性</w:t>
            </w:r>
          </w:p>
          <w:p>
            <w:pPr>
              <w:widowControl/>
              <w:spacing w:line="360" w:lineRule="auto"/>
              <w:ind w:firstLine="480" w:firstLineChars="200"/>
              <w:jc w:val="left"/>
              <w:rPr>
                <w:rFonts w:hint="eastAsia" w:ascii="Times New Roman" w:hAnsi="Times New Roman" w:cs="宋体"/>
                <w:color w:val="000000"/>
                <w:sz w:val="24"/>
                <w:lang w:eastAsia="zh-CN"/>
              </w:rPr>
            </w:pPr>
            <w:r>
              <w:rPr>
                <w:rFonts w:ascii="Times New Roman" w:hAnsi="Times New Roman" w:cs="宋体"/>
                <w:color w:val="000000"/>
                <w:sz w:val="24"/>
              </w:rPr>
              <w:t>根据《</w:t>
            </w:r>
            <w:r>
              <w:rPr>
                <w:rFonts w:hint="eastAsia" w:ascii="Times New Roman" w:hAnsi="Times New Roman" w:cs="宋体"/>
                <w:color w:val="000000"/>
                <w:sz w:val="24"/>
                <w:lang w:val="en-US" w:eastAsia="zh-CN"/>
              </w:rPr>
              <w:t>大理白族自治</w:t>
            </w:r>
            <w:r>
              <w:rPr>
                <w:rFonts w:ascii="Times New Roman" w:hAnsi="Times New Roman" w:cs="宋体"/>
                <w:color w:val="000000"/>
                <w:sz w:val="24"/>
              </w:rPr>
              <w:t>州人民政府办公室关于印发</w:t>
            </w:r>
            <w:r>
              <w:rPr>
                <w:rFonts w:hint="eastAsia" w:ascii="Times New Roman" w:hAnsi="Times New Roman" w:cs="宋体"/>
                <w:color w:val="000000"/>
                <w:sz w:val="24"/>
                <w:lang w:val="en-US" w:eastAsia="zh-CN"/>
              </w:rPr>
              <w:t>大理</w:t>
            </w:r>
            <w:r>
              <w:rPr>
                <w:rFonts w:ascii="Times New Roman" w:hAnsi="Times New Roman" w:cs="宋体"/>
                <w:color w:val="000000"/>
                <w:sz w:val="24"/>
              </w:rPr>
              <w:t>州“三线一单”生态环境分区管控实施方案的通知》（</w:t>
            </w:r>
            <w:r>
              <w:rPr>
                <w:rFonts w:hint="eastAsia" w:ascii="Times New Roman" w:hAnsi="Times New Roman" w:cs="宋体"/>
                <w:color w:val="000000"/>
                <w:sz w:val="24"/>
                <w:lang w:val="en-US" w:eastAsia="zh-CN"/>
              </w:rPr>
              <w:t>大</w:t>
            </w:r>
            <w:r>
              <w:rPr>
                <w:rFonts w:hint="eastAsia" w:ascii="Times New Roman" w:hAnsi="Times New Roman" w:cs="宋体"/>
                <w:color w:val="000000"/>
                <w:sz w:val="24"/>
              </w:rPr>
              <w:t>政发〔2021〕29号</w:t>
            </w:r>
            <w:r>
              <w:rPr>
                <w:rFonts w:ascii="Times New Roman" w:hAnsi="Times New Roman" w:cs="宋体"/>
                <w:color w:val="000000"/>
                <w:sz w:val="24"/>
              </w:rPr>
              <w:t>）中资源利用上线</w:t>
            </w:r>
            <w:r>
              <w:rPr>
                <w:rFonts w:hint="eastAsia" w:ascii="Times New Roman" w:hAnsi="Times New Roman" w:cs="宋体"/>
                <w:color w:val="000000"/>
                <w:sz w:val="24"/>
                <w:lang w:val="en-US" w:eastAsia="zh-CN"/>
              </w:rPr>
              <w:t>要求：</w:t>
            </w:r>
            <w:r>
              <w:rPr>
                <w:rFonts w:hint="eastAsia" w:ascii="Times New Roman" w:hAnsi="Times New Roman" w:cs="宋体"/>
                <w:color w:val="000000"/>
                <w:sz w:val="24"/>
              </w:rPr>
              <w:t>强化资源能源节约集约利用，持续提升资源能源利用效率，水资源、土地资源、能源消耗等达到或优于云南省下达的总量</w:t>
            </w:r>
            <w:r>
              <w:rPr>
                <w:rFonts w:hint="eastAsia" w:ascii="Times New Roman" w:hAnsi="Times New Roman" w:cs="宋体"/>
                <w:color w:val="000000"/>
                <w:sz w:val="24"/>
                <w:lang w:eastAsia="zh-CN"/>
              </w:rPr>
              <w:t>。</w:t>
            </w:r>
          </w:p>
          <w:p>
            <w:pPr>
              <w:widowControl/>
              <w:spacing w:line="360" w:lineRule="auto"/>
              <w:ind w:firstLine="480" w:firstLineChars="200"/>
              <w:jc w:val="left"/>
            </w:pPr>
            <w:r>
              <w:rPr>
                <w:sz w:val="24"/>
              </w:rPr>
              <w:t>建设项目给水来自于自来水管网，供电由市电网供给。原料外购，项目所选工艺设备选用了高效、先进的设备，提高了生产效率，降低了产品的损耗率，减少了原料的用量和废物的产生量，减少了物流运输次数和运输量，节省了能源。因此，项目建设不会破坏当地自然资源上线</w:t>
            </w:r>
            <w:r>
              <w:rPr>
                <w:rFonts w:hint="eastAsia" w:ascii="Times New Roman" w:hAnsi="Times New Roman" w:cs="宋体"/>
                <w:color w:val="000000"/>
                <w:sz w:val="24"/>
              </w:rPr>
              <w:t>和强度控制目标。</w:t>
            </w:r>
          </w:p>
          <w:p>
            <w:pPr>
              <w:spacing w:line="360" w:lineRule="auto"/>
              <w:ind w:firstLine="480" w:firstLineChars="200"/>
              <w:rPr>
                <w:color w:val="auto"/>
                <w:sz w:val="24"/>
              </w:rPr>
            </w:pPr>
            <w:r>
              <w:rPr>
                <w:color w:val="3626BE"/>
                <w:sz w:val="24"/>
              </w:rPr>
              <w:t>（</w:t>
            </w:r>
            <w:r>
              <w:rPr>
                <w:color w:val="auto"/>
                <w:sz w:val="24"/>
              </w:rPr>
              <w:t>4）</w:t>
            </w:r>
            <w:r>
              <w:rPr>
                <w:rFonts w:hint="eastAsia"/>
                <w:color w:val="auto"/>
                <w:sz w:val="24"/>
                <w:lang w:val="en-US" w:eastAsia="zh-CN"/>
              </w:rPr>
              <w:t>与生态环境准入清单</w:t>
            </w:r>
            <w:r>
              <w:rPr>
                <w:color w:val="auto"/>
                <w:sz w:val="24"/>
              </w:rPr>
              <w:t xml:space="preserve">符合性分析 </w:t>
            </w:r>
          </w:p>
          <w:p>
            <w:pPr>
              <w:widowControl/>
              <w:spacing w:line="360" w:lineRule="auto"/>
              <w:ind w:firstLine="480" w:firstLineChars="200"/>
              <w:jc w:val="both"/>
              <w:rPr>
                <w:rFonts w:hint="eastAsia"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根据</w:t>
            </w:r>
            <w:r>
              <w:rPr>
                <w:rFonts w:ascii="Times New Roman" w:hAnsi="Times New Roman" w:cs="宋体"/>
                <w:color w:val="auto"/>
                <w:sz w:val="24"/>
              </w:rPr>
              <w:t>《</w:t>
            </w:r>
            <w:r>
              <w:rPr>
                <w:rFonts w:hint="eastAsia" w:ascii="Times New Roman" w:hAnsi="Times New Roman" w:cs="宋体"/>
                <w:color w:val="auto"/>
                <w:sz w:val="24"/>
                <w:lang w:val="en-US" w:eastAsia="zh-CN"/>
              </w:rPr>
              <w:t>大理白族自治</w:t>
            </w:r>
            <w:r>
              <w:rPr>
                <w:rFonts w:ascii="Times New Roman" w:hAnsi="Times New Roman" w:cs="宋体"/>
                <w:color w:val="auto"/>
                <w:sz w:val="24"/>
              </w:rPr>
              <w:t>州人民政府办公室关于印发</w:t>
            </w:r>
            <w:r>
              <w:rPr>
                <w:rFonts w:hint="eastAsia" w:ascii="Times New Roman" w:hAnsi="Times New Roman" w:cs="宋体"/>
                <w:color w:val="auto"/>
                <w:sz w:val="24"/>
                <w:lang w:val="en-US" w:eastAsia="zh-CN"/>
              </w:rPr>
              <w:t>大理</w:t>
            </w:r>
            <w:r>
              <w:rPr>
                <w:rFonts w:ascii="Times New Roman" w:hAnsi="Times New Roman" w:cs="宋体"/>
                <w:color w:val="auto"/>
                <w:sz w:val="24"/>
              </w:rPr>
              <w:t>州“三线一单”生态环境分区管控实施方案的通知》（</w:t>
            </w:r>
            <w:r>
              <w:rPr>
                <w:rFonts w:hint="eastAsia" w:ascii="Times New Roman" w:hAnsi="Times New Roman" w:cs="宋体"/>
                <w:color w:val="auto"/>
                <w:sz w:val="24"/>
                <w:lang w:val="en-US" w:eastAsia="zh-CN"/>
              </w:rPr>
              <w:t>大</w:t>
            </w:r>
            <w:r>
              <w:rPr>
                <w:rFonts w:hint="eastAsia" w:ascii="Times New Roman" w:hAnsi="Times New Roman" w:cs="宋体"/>
                <w:color w:val="auto"/>
                <w:sz w:val="24"/>
              </w:rPr>
              <w:t>政发〔2021〕29号</w:t>
            </w:r>
            <w:r>
              <w:rPr>
                <w:rFonts w:ascii="Times New Roman" w:hAnsi="Times New Roman" w:cs="宋体"/>
                <w:color w:val="auto"/>
                <w:sz w:val="24"/>
              </w:rPr>
              <w:t>）</w:t>
            </w:r>
            <w:r>
              <w:rPr>
                <w:rFonts w:hint="eastAsia" w:ascii="Times New Roman" w:hAnsi="Times New Roman" w:cs="Times New Roman"/>
                <w:color w:val="auto"/>
                <w:sz w:val="24"/>
                <w:lang w:val="en-US" w:eastAsia="zh-CN"/>
              </w:rPr>
              <w:t>，项目所在地位于云龙县白石镇中和村，管控单元类别为“优先保护单元、一般管控单元生态环境准入清单”，具体管控要求见下表。</w:t>
            </w:r>
          </w:p>
          <w:p>
            <w:pPr>
              <w:pStyle w:val="71"/>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表1-1 大理州优先保护单元、一般管控单元生态环境准入清单</w:t>
            </w:r>
          </w:p>
          <w:tbl>
            <w:tblPr>
              <w:tblStyle w:val="25"/>
              <w:tblW w:w="7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57" w:type="dxa"/>
                <w:bottom w:w="15" w:type="dxa"/>
                <w:right w:w="57" w:type="dxa"/>
              </w:tblCellMar>
            </w:tblPr>
            <w:tblGrid>
              <w:gridCol w:w="971"/>
              <w:gridCol w:w="977"/>
              <w:gridCol w:w="3348"/>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57" w:type="dxa"/>
                  <w:bottom w:w="15" w:type="dxa"/>
                  <w:right w:w="57" w:type="dxa"/>
                </w:tblCellMar>
              </w:tblPrEx>
              <w:trPr>
                <w:trHeight w:val="90" w:hRule="atLeast"/>
                <w:tblHeader/>
              </w:trPr>
              <w:tc>
                <w:tcPr>
                  <w:tcW w:w="971" w:type="dxa"/>
                  <w:noWrap w:val="0"/>
                  <w:vAlign w:val="center"/>
                </w:tcPr>
                <w:p>
                  <w:pPr>
                    <w:widowControl/>
                    <w:adjustRightInd w:val="0"/>
                    <w:snapToGrid w:val="0"/>
                    <w:spacing w:line="288" w:lineRule="auto"/>
                    <w:jc w:val="center"/>
                    <w:rPr>
                      <w:rFonts w:hint="default" w:ascii="Times New Roman" w:hAnsi="Times New Roman" w:eastAsia="宋体" w:cs="Times New Roman"/>
                      <w:b/>
                      <w:color w:val="auto"/>
                      <w:kern w:val="0"/>
                      <w:sz w:val="21"/>
                      <w:szCs w:val="21"/>
                    </w:rPr>
                  </w:pPr>
                  <w:r>
                    <w:rPr>
                      <w:rFonts w:hint="default" w:ascii="Times New Roman" w:hAnsi="Times New Roman" w:eastAsia="宋体" w:cs="Times New Roman"/>
                      <w:b/>
                      <w:color w:val="auto"/>
                      <w:kern w:val="0"/>
                      <w:sz w:val="21"/>
                      <w:szCs w:val="21"/>
                    </w:rPr>
                    <w:t>市县</w:t>
                  </w:r>
                </w:p>
              </w:tc>
              <w:tc>
                <w:tcPr>
                  <w:tcW w:w="977" w:type="dxa"/>
                  <w:noWrap w:val="0"/>
                  <w:vAlign w:val="center"/>
                </w:tcPr>
                <w:p>
                  <w:pPr>
                    <w:widowControl/>
                    <w:adjustRightInd w:val="0"/>
                    <w:snapToGrid w:val="0"/>
                    <w:spacing w:line="288" w:lineRule="auto"/>
                    <w:jc w:val="center"/>
                    <w:rPr>
                      <w:rFonts w:hint="default" w:ascii="Times New Roman" w:hAnsi="Times New Roman" w:eastAsia="宋体" w:cs="Times New Roman"/>
                      <w:b/>
                      <w:color w:val="auto"/>
                      <w:kern w:val="0"/>
                      <w:sz w:val="21"/>
                      <w:szCs w:val="21"/>
                    </w:rPr>
                  </w:pPr>
                  <w:r>
                    <w:rPr>
                      <w:rFonts w:hint="default" w:ascii="Times New Roman" w:hAnsi="Times New Roman" w:eastAsia="宋体" w:cs="Times New Roman"/>
                      <w:b/>
                      <w:color w:val="auto"/>
                      <w:kern w:val="0"/>
                      <w:sz w:val="21"/>
                      <w:szCs w:val="21"/>
                    </w:rPr>
                    <w:t>单元名称</w:t>
                  </w:r>
                </w:p>
              </w:tc>
              <w:tc>
                <w:tcPr>
                  <w:tcW w:w="3348" w:type="dxa"/>
                  <w:noWrap w:val="0"/>
                  <w:vAlign w:val="center"/>
                </w:tcPr>
                <w:p>
                  <w:pPr>
                    <w:widowControl/>
                    <w:adjustRightInd w:val="0"/>
                    <w:snapToGrid w:val="0"/>
                    <w:spacing w:line="288" w:lineRule="auto"/>
                    <w:jc w:val="center"/>
                    <w:rPr>
                      <w:rFonts w:hint="default" w:ascii="Times New Roman" w:hAnsi="Times New Roman" w:eastAsia="宋体" w:cs="Times New Roman"/>
                      <w:b/>
                      <w:color w:val="auto"/>
                      <w:kern w:val="0"/>
                      <w:sz w:val="21"/>
                      <w:szCs w:val="21"/>
                    </w:rPr>
                  </w:pPr>
                  <w:r>
                    <w:rPr>
                      <w:rFonts w:hint="default" w:ascii="Times New Roman" w:hAnsi="Times New Roman" w:eastAsia="宋体" w:cs="Times New Roman"/>
                      <w:b/>
                      <w:color w:val="auto"/>
                      <w:kern w:val="0"/>
                      <w:sz w:val="21"/>
                      <w:szCs w:val="21"/>
                    </w:rPr>
                    <w:t>管控要求</w:t>
                  </w:r>
                </w:p>
              </w:tc>
              <w:tc>
                <w:tcPr>
                  <w:tcW w:w="1824" w:type="dxa"/>
                  <w:noWrap w:val="0"/>
                  <w:vAlign w:val="center"/>
                </w:tcPr>
                <w:p>
                  <w:pPr>
                    <w:widowControl/>
                    <w:adjustRightInd w:val="0"/>
                    <w:snapToGrid w:val="0"/>
                    <w:spacing w:line="288" w:lineRule="auto"/>
                    <w:jc w:val="center"/>
                    <w:rPr>
                      <w:rFonts w:hint="default" w:ascii="Times New Roman" w:hAnsi="Times New Roman" w:eastAsia="宋体" w:cs="Times New Roman"/>
                      <w:b/>
                      <w:color w:val="auto"/>
                      <w:kern w:val="0"/>
                      <w:sz w:val="21"/>
                      <w:szCs w:val="21"/>
                      <w:lang w:val="en-US" w:eastAsia="zh-CN"/>
                    </w:rPr>
                  </w:pPr>
                  <w:r>
                    <w:rPr>
                      <w:rFonts w:hint="default" w:ascii="Times New Roman" w:hAnsi="Times New Roman" w:cs="Times New Roman"/>
                      <w:b/>
                      <w:color w:val="auto"/>
                      <w:kern w:val="0"/>
                      <w:sz w:val="21"/>
                      <w:szCs w:val="21"/>
                      <w:lang w:val="en-US" w:eastAsia="zh-CN"/>
                    </w:rPr>
                    <w:t>符合性分析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57" w:type="dxa"/>
                  <w:bottom w:w="15" w:type="dxa"/>
                  <w:right w:w="57" w:type="dxa"/>
                </w:tblCellMar>
              </w:tblPrEx>
              <w:trPr>
                <w:trHeight w:val="2199" w:hRule="atLeast"/>
              </w:trPr>
              <w:tc>
                <w:tcPr>
                  <w:tcW w:w="971" w:type="dxa"/>
                  <w:vMerge w:val="restart"/>
                  <w:noWrap w:val="0"/>
                  <w:vAlign w:val="center"/>
                </w:tcPr>
                <w:p>
                  <w:pPr>
                    <w:widowControl/>
                    <w:adjustRightInd w:val="0"/>
                    <w:snapToGrid w:val="0"/>
                    <w:spacing w:line="288" w:lineRule="auto"/>
                    <w:jc w:val="center"/>
                    <w:textAlignment w:val="bottom"/>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各市县优先保护单元</w:t>
                  </w:r>
                </w:p>
              </w:tc>
              <w:tc>
                <w:tcPr>
                  <w:tcW w:w="977" w:type="dxa"/>
                  <w:noWrap w:val="0"/>
                  <w:vAlign w:val="center"/>
                </w:tcPr>
                <w:p>
                  <w:pPr>
                    <w:widowControl/>
                    <w:adjustRightInd w:val="0"/>
                    <w:snapToGrid w:val="0"/>
                    <w:spacing w:line="288" w:lineRule="auto"/>
                    <w:jc w:val="center"/>
                    <w:textAlignment w:val="bottom"/>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生态保护红线优先保护单元</w:t>
                  </w:r>
                </w:p>
              </w:tc>
              <w:tc>
                <w:tcPr>
                  <w:tcW w:w="3348" w:type="dxa"/>
                  <w:noWrap w:val="0"/>
                  <w:vAlign w:val="center"/>
                </w:tcPr>
                <w:p>
                  <w:pPr>
                    <w:widowControl/>
                    <w:adjustRightInd w:val="0"/>
                    <w:snapToGrid w:val="0"/>
                    <w:spacing w:line="288" w:lineRule="auto"/>
                    <w:jc w:val="left"/>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1.生态保护红线内，自然保护地核心保护区原则上禁止人为活动，其他区域严格禁止开发性生产性建设活动，法律法规另有规定的，从其规定。</w:t>
                  </w:r>
                </w:p>
                <w:p>
                  <w:pPr>
                    <w:widowControl/>
                    <w:adjustRightInd w:val="0"/>
                    <w:snapToGrid w:val="0"/>
                    <w:spacing w:line="288" w:lineRule="auto"/>
                    <w:jc w:val="left"/>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2.生态保护红线相关管控办法出台后，依据其管理规定执行。</w:t>
                  </w:r>
                </w:p>
              </w:tc>
              <w:tc>
                <w:tcPr>
                  <w:tcW w:w="1824" w:type="dxa"/>
                  <w:noWrap w:val="0"/>
                  <w:vAlign w:val="center"/>
                </w:tcPr>
                <w:p>
                  <w:pPr>
                    <w:widowControl/>
                    <w:adjustRightInd w:val="0"/>
                    <w:snapToGrid w:val="0"/>
                    <w:spacing w:line="288" w:lineRule="auto"/>
                    <w:jc w:val="both"/>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根据云龙县自然资源局出具的《云龙县生态红线查询表》：项目用地未压占云龙县生态保护红线</w:t>
                  </w:r>
                  <w:r>
                    <w:rPr>
                      <w:rFonts w:hint="default" w:ascii="Times New Roman" w:hAnsi="Times New Roman" w:cs="Times New Roman"/>
                      <w:color w:val="auto"/>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57" w:type="dxa"/>
                  <w:bottom w:w="15" w:type="dxa"/>
                  <w:right w:w="57" w:type="dxa"/>
                </w:tblCellMar>
              </w:tblPrEx>
              <w:trPr>
                <w:trHeight w:val="3455" w:hRule="atLeast"/>
              </w:trPr>
              <w:tc>
                <w:tcPr>
                  <w:tcW w:w="971" w:type="dxa"/>
                  <w:vMerge w:val="continue"/>
                  <w:noWrap w:val="0"/>
                  <w:vAlign w:val="center"/>
                </w:tcPr>
                <w:p>
                  <w:pPr>
                    <w:widowControl/>
                    <w:adjustRightInd w:val="0"/>
                    <w:snapToGrid w:val="0"/>
                    <w:spacing w:line="288" w:lineRule="auto"/>
                    <w:jc w:val="center"/>
                    <w:textAlignment w:val="bottom"/>
                    <w:rPr>
                      <w:rFonts w:hint="default" w:ascii="Times New Roman" w:hAnsi="Times New Roman" w:eastAsia="宋体" w:cs="Times New Roman"/>
                      <w:color w:val="auto"/>
                      <w:kern w:val="0"/>
                      <w:sz w:val="21"/>
                      <w:szCs w:val="21"/>
                    </w:rPr>
                  </w:pPr>
                </w:p>
              </w:tc>
              <w:tc>
                <w:tcPr>
                  <w:tcW w:w="977" w:type="dxa"/>
                  <w:noWrap w:val="0"/>
                  <w:vAlign w:val="center"/>
                </w:tcPr>
                <w:p>
                  <w:pPr>
                    <w:widowControl/>
                    <w:adjustRightInd w:val="0"/>
                    <w:snapToGrid w:val="0"/>
                    <w:spacing w:line="288" w:lineRule="auto"/>
                    <w:jc w:val="center"/>
                    <w:textAlignment w:val="bottom"/>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一般生态空间优先保护单元</w:t>
                  </w:r>
                </w:p>
              </w:tc>
              <w:tc>
                <w:tcPr>
                  <w:tcW w:w="3348" w:type="dxa"/>
                  <w:noWrap w:val="0"/>
                  <w:vAlign w:val="center"/>
                </w:tcPr>
                <w:p>
                  <w:pPr>
                    <w:widowControl/>
                    <w:numPr>
                      <w:ilvl w:val="0"/>
                      <w:numId w:val="2"/>
                    </w:numPr>
                    <w:adjustRightInd w:val="0"/>
                    <w:snapToGrid w:val="0"/>
                    <w:spacing w:line="288" w:lineRule="auto"/>
                    <w:jc w:val="both"/>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执行《云南省人民政府关于实施“三线一单”生态环境分区管控的意见》。原则上按照限制开发区域的要求进行管理，严格限制大规模开发建设活动。以保护和修复生态环境、提供生态产品为首要任务，因地制宜地发展不影响主体功能定位的产业。</w:t>
                  </w:r>
                </w:p>
                <w:p>
                  <w:pPr>
                    <w:widowControl/>
                    <w:numPr>
                      <w:ilvl w:val="0"/>
                      <w:numId w:val="2"/>
                    </w:numPr>
                    <w:adjustRightInd w:val="0"/>
                    <w:snapToGrid w:val="0"/>
                    <w:spacing w:line="288" w:lineRule="auto"/>
                    <w:jc w:val="both"/>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未纳入生态保护红线的各类自然保护地</w:t>
                  </w:r>
                  <w:r>
                    <w:rPr>
                      <w:rFonts w:hint="default" w:ascii="Times New Roman" w:hAnsi="Times New Roman" w:eastAsia="宋体" w:cs="Times New Roman"/>
                      <w:color w:val="auto"/>
                      <w:kern w:val="0"/>
                      <w:sz w:val="21"/>
                      <w:szCs w:val="21"/>
                      <w:lang w:eastAsia="zh-CN"/>
                    </w:rPr>
                    <w:t>按照</w:t>
                  </w:r>
                  <w:r>
                    <w:rPr>
                      <w:rFonts w:hint="default" w:ascii="Times New Roman" w:hAnsi="Times New Roman" w:eastAsia="宋体" w:cs="Times New Roman"/>
                      <w:color w:val="auto"/>
                      <w:kern w:val="0"/>
                      <w:sz w:val="21"/>
                      <w:szCs w:val="21"/>
                    </w:rPr>
                    <w:t>《云南省大理白族自治州风景名胜管理条例》《云南省大理白族自治州苍山保护管理条例》《云南省大理白族自治州大理历史文化名城保护条例》</w:t>
                  </w:r>
                  <w:r>
                    <w:rPr>
                      <w:rFonts w:hint="default" w:ascii="Times New Roman" w:hAnsi="Times New Roman" w:eastAsia="宋体" w:cs="Times New Roman"/>
                      <w:color w:val="auto"/>
                      <w:kern w:val="0"/>
                      <w:sz w:val="21"/>
                      <w:szCs w:val="21"/>
                      <w:lang w:eastAsia="zh-CN"/>
                    </w:rPr>
                    <w:t>等进行管理</w:t>
                  </w:r>
                  <w:r>
                    <w:rPr>
                      <w:rFonts w:hint="eastAsia" w:ascii="Times New Roman" w:hAnsi="Times New Roman" w:cs="Times New Roman"/>
                      <w:color w:val="auto"/>
                      <w:kern w:val="0"/>
                      <w:sz w:val="21"/>
                      <w:szCs w:val="21"/>
                      <w:lang w:eastAsia="zh-CN"/>
                    </w:rPr>
                    <w:t>，</w:t>
                  </w:r>
                  <w:r>
                    <w:rPr>
                      <w:rFonts w:hint="default" w:ascii="Times New Roman" w:hAnsi="Times New Roman" w:eastAsia="宋体" w:cs="Times New Roman"/>
                      <w:color w:val="auto"/>
                      <w:kern w:val="0"/>
                      <w:sz w:val="21"/>
                      <w:szCs w:val="21"/>
                    </w:rPr>
                    <w:t>重要湿地依据《湿地保护管理规定》《国务院办公厅关于印发湿地保护修复制度方案的通知》《云南省湿地保护条例》《云南省人民政府关于加强湿地保护工作的意见》《云南省大理白族自治州湿地保护条例》等进行管理；生态公益林依据《国家级公益林管理办法》《云南省公益林管理办法》等进行管理；天然林依据《国家林业局关于严格保护天然林的通知》（林资发〔2015〕181号）《天然林保护修复制度方案》等进行管理；基本草原依据《中华人民共和国草原法》进行管理。</w:t>
                  </w:r>
                </w:p>
              </w:tc>
              <w:tc>
                <w:tcPr>
                  <w:tcW w:w="1824" w:type="dxa"/>
                  <w:noWrap w:val="0"/>
                  <w:vAlign w:val="center"/>
                </w:tcPr>
                <w:p>
                  <w:pPr>
                    <w:widowControl/>
                    <w:numPr>
                      <w:ilvl w:val="0"/>
                      <w:numId w:val="0"/>
                    </w:numPr>
                    <w:adjustRightInd w:val="0"/>
                    <w:snapToGrid w:val="0"/>
                    <w:spacing w:line="288" w:lineRule="auto"/>
                    <w:jc w:val="both"/>
                    <w:rPr>
                      <w:rFonts w:hint="eastAsia" w:ascii="Times New Roman" w:hAnsi="Times New Roman" w:eastAsia="宋体" w:cs="Times New Roman"/>
                      <w:color w:val="auto"/>
                      <w:kern w:val="0"/>
                      <w:sz w:val="21"/>
                      <w:szCs w:val="21"/>
                      <w:lang w:eastAsia="zh-CN"/>
                    </w:rPr>
                  </w:pPr>
                  <w:r>
                    <w:rPr>
                      <w:rFonts w:hint="default" w:ascii="Times New Roman" w:hAnsi="Times New Roman" w:eastAsia="宋体" w:cs="Times New Roman"/>
                      <w:color w:val="auto"/>
                      <w:kern w:val="0"/>
                      <w:sz w:val="21"/>
                      <w:szCs w:val="21"/>
                    </w:rPr>
                    <w:t>本项目选址不涉及自然保护区、风景名胜区及其他需要特殊保护的敏感区域</w:t>
                  </w:r>
                  <w:r>
                    <w:rPr>
                      <w:rFonts w:hint="eastAsia" w:ascii="Times New Roman" w:hAnsi="Times New Roman" w:cs="Times New Roman"/>
                      <w:color w:val="auto"/>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57" w:type="dxa"/>
                  <w:bottom w:w="15" w:type="dxa"/>
                  <w:right w:w="57" w:type="dxa"/>
                </w:tblCellMar>
              </w:tblPrEx>
              <w:trPr>
                <w:trHeight w:val="88" w:hRule="atLeast"/>
              </w:trPr>
              <w:tc>
                <w:tcPr>
                  <w:tcW w:w="971" w:type="dxa"/>
                  <w:vMerge w:val="continue"/>
                  <w:noWrap w:val="0"/>
                  <w:vAlign w:val="center"/>
                </w:tcPr>
                <w:p>
                  <w:pPr>
                    <w:widowControl/>
                    <w:adjustRightInd w:val="0"/>
                    <w:snapToGrid w:val="0"/>
                    <w:spacing w:line="288" w:lineRule="auto"/>
                    <w:jc w:val="center"/>
                    <w:textAlignment w:val="bottom"/>
                    <w:rPr>
                      <w:rFonts w:hint="default" w:ascii="Times New Roman" w:hAnsi="Times New Roman" w:eastAsia="宋体" w:cs="Times New Roman"/>
                      <w:color w:val="auto"/>
                      <w:kern w:val="0"/>
                      <w:sz w:val="21"/>
                      <w:szCs w:val="21"/>
                    </w:rPr>
                  </w:pPr>
                </w:p>
              </w:tc>
              <w:tc>
                <w:tcPr>
                  <w:tcW w:w="977" w:type="dxa"/>
                  <w:noWrap w:val="0"/>
                  <w:vAlign w:val="center"/>
                </w:tcPr>
                <w:p>
                  <w:pPr>
                    <w:widowControl/>
                    <w:adjustRightInd w:val="0"/>
                    <w:snapToGrid w:val="0"/>
                    <w:spacing w:line="288" w:lineRule="auto"/>
                    <w:jc w:val="center"/>
                    <w:textAlignment w:val="bottom"/>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饮用水源地优先保护单元</w:t>
                  </w:r>
                </w:p>
              </w:tc>
              <w:tc>
                <w:tcPr>
                  <w:tcW w:w="3348" w:type="dxa"/>
                  <w:noWrap w:val="0"/>
                  <w:vAlign w:val="center"/>
                </w:tcPr>
                <w:p>
                  <w:pPr>
                    <w:widowControl/>
                    <w:adjustRightInd w:val="0"/>
                    <w:snapToGrid w:val="0"/>
                    <w:spacing w:line="288" w:lineRule="auto"/>
                    <w:jc w:val="both"/>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依据《中华人民共和国水污染防治法》《饮用水水源保护区污染防治管理规定》等进行管理。</w:t>
                  </w:r>
                </w:p>
              </w:tc>
              <w:tc>
                <w:tcPr>
                  <w:tcW w:w="1824" w:type="dxa"/>
                  <w:noWrap w:val="0"/>
                  <w:vAlign w:val="center"/>
                </w:tcPr>
                <w:p>
                  <w:pPr>
                    <w:widowControl/>
                    <w:adjustRightInd w:val="0"/>
                    <w:snapToGrid w:val="0"/>
                    <w:spacing w:line="288" w:lineRule="auto"/>
                    <w:jc w:val="both"/>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rPr>
                    <w:t>建设项目选址位云南省大理白族自治州云龙县白石镇中和村，</w:t>
                  </w:r>
                  <w:r>
                    <w:rPr>
                      <w:rFonts w:hint="eastAsia" w:ascii="Times New Roman" w:hAnsi="Times New Roman" w:eastAsia="宋体" w:cs="Times New Roman"/>
                      <w:color w:val="auto"/>
                      <w:kern w:val="0"/>
                      <w:sz w:val="21"/>
                      <w:szCs w:val="21"/>
                      <w:lang w:val="en-US" w:eastAsia="zh-CN"/>
                    </w:rPr>
                    <w:t>不涉及饮用水源保护</w:t>
                  </w:r>
                  <w:r>
                    <w:rPr>
                      <w:rFonts w:hint="eastAsia" w:ascii="Times New Roman" w:hAnsi="Times New Roman" w:cs="Times New Roman"/>
                      <w:color w:val="auto"/>
                      <w:kern w:val="0"/>
                      <w:sz w:val="21"/>
                      <w:szCs w:val="21"/>
                      <w:lang w:val="en-US" w:eastAsia="zh-CN"/>
                    </w:rPr>
                    <w:t>区。</w:t>
                  </w:r>
                  <w:r>
                    <w:rPr>
                      <w:rFonts w:hint="default" w:ascii="Times New Roman" w:hAnsi="Times New Roman" w:eastAsia="宋体" w:cs="Times New Roman"/>
                      <w:color w:val="auto"/>
                      <w:kern w:val="0"/>
                      <w:sz w:val="21"/>
                      <w:szCs w:val="21"/>
                      <w:lang w:val="en-US" w:eastAsia="zh-CN"/>
                    </w:rPr>
                    <w:t>项目废水经化粪池收集处理后用作绿化、林地施肥，不外排。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57" w:type="dxa"/>
                  <w:bottom w:w="15" w:type="dxa"/>
                  <w:right w:w="57" w:type="dxa"/>
                </w:tblCellMar>
              </w:tblPrEx>
              <w:trPr>
                <w:trHeight w:val="1016" w:hRule="atLeast"/>
              </w:trPr>
              <w:tc>
                <w:tcPr>
                  <w:tcW w:w="971" w:type="dxa"/>
                  <w:noWrap w:val="0"/>
                  <w:vAlign w:val="center"/>
                </w:tcPr>
                <w:p>
                  <w:pPr>
                    <w:widowControl/>
                    <w:adjustRightInd w:val="0"/>
                    <w:snapToGrid w:val="0"/>
                    <w:spacing w:line="288" w:lineRule="auto"/>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各市县一般管控单元</w:t>
                  </w:r>
                </w:p>
              </w:tc>
              <w:tc>
                <w:tcPr>
                  <w:tcW w:w="977" w:type="dxa"/>
                  <w:noWrap w:val="0"/>
                  <w:vAlign w:val="center"/>
                </w:tcPr>
                <w:p>
                  <w:pPr>
                    <w:widowControl/>
                    <w:adjustRightInd w:val="0"/>
                    <w:snapToGrid w:val="0"/>
                    <w:spacing w:line="288" w:lineRule="auto"/>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空间布局</w:t>
                  </w:r>
                </w:p>
                <w:p>
                  <w:pPr>
                    <w:widowControl/>
                    <w:adjustRightInd w:val="0"/>
                    <w:snapToGrid w:val="0"/>
                    <w:spacing w:line="288" w:lineRule="auto"/>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约束</w:t>
                  </w:r>
                </w:p>
              </w:tc>
              <w:tc>
                <w:tcPr>
                  <w:tcW w:w="3348" w:type="dxa"/>
                  <w:noWrap w:val="0"/>
                  <w:vAlign w:val="center"/>
                </w:tcPr>
                <w:p>
                  <w:pPr>
                    <w:widowControl/>
                    <w:adjustRightInd w:val="0"/>
                    <w:snapToGrid w:val="0"/>
                    <w:spacing w:line="288" w:lineRule="auto"/>
                    <w:jc w:val="both"/>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落实生态环境保护基本要求，项目建设和运行应满足产业准入、总量控制、排放标准等管理规定。</w:t>
                  </w:r>
                </w:p>
              </w:tc>
              <w:tc>
                <w:tcPr>
                  <w:tcW w:w="1824" w:type="dxa"/>
                  <w:noWrap w:val="0"/>
                  <w:vAlign w:val="center"/>
                </w:tcPr>
                <w:p>
                  <w:pPr>
                    <w:widowControl/>
                    <w:adjustRightInd w:val="0"/>
                    <w:snapToGrid w:val="0"/>
                    <w:spacing w:line="288" w:lineRule="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rPr>
                    <w:t>建设项目选址位云南省大理白族自治州云龙县白石镇中和村</w:t>
                  </w:r>
                  <w:r>
                    <w:rPr>
                      <w:rFonts w:hint="eastAsia" w:ascii="Times New Roman" w:hAnsi="Times New Roman" w:cs="Times New Roman"/>
                      <w:color w:val="auto"/>
                      <w:kern w:val="0"/>
                      <w:sz w:val="21"/>
                      <w:szCs w:val="21"/>
                      <w:lang w:eastAsia="zh-CN"/>
                    </w:rPr>
                    <w:t>，</w:t>
                  </w:r>
                  <w:r>
                    <w:rPr>
                      <w:rFonts w:hint="eastAsia" w:ascii="Times New Roman" w:hAnsi="Times New Roman" w:cs="Times New Roman"/>
                      <w:color w:val="auto"/>
                      <w:kern w:val="0"/>
                      <w:sz w:val="21"/>
                      <w:szCs w:val="21"/>
                      <w:lang w:val="en-US" w:eastAsia="zh-CN"/>
                    </w:rPr>
                    <w:t>最近敏感点为东面60m处的变电站，项目运营期间废气主要为扬尘，采取密闭厂房、湿式作业、洒水降尘等取措施后对周边环境影响小。</w:t>
                  </w:r>
                </w:p>
              </w:tc>
            </w:tr>
          </w:tbl>
          <w:p>
            <w:pPr>
              <w:autoSpaceDE w:val="0"/>
              <w:autoSpaceDN w:val="0"/>
              <w:adjustRightInd w:val="0"/>
              <w:snapToGrid w:val="0"/>
              <w:spacing w:line="360" w:lineRule="auto"/>
              <w:ind w:firstLine="480" w:firstLineChars="200"/>
              <w:jc w:val="both"/>
              <w:rPr>
                <w:color w:val="auto"/>
                <w:sz w:val="24"/>
              </w:rPr>
            </w:pPr>
            <w:r>
              <w:rPr>
                <w:rFonts w:hint="eastAsia" w:ascii="Times New Roman" w:hAnsi="Times New Roman" w:cs="宋体"/>
                <w:color w:val="auto"/>
                <w:sz w:val="24"/>
                <w:lang w:val="en-US" w:eastAsia="zh-CN"/>
              </w:rPr>
              <w:t>对照</w:t>
            </w:r>
            <w:r>
              <w:rPr>
                <w:rFonts w:hint="eastAsia" w:cs="宋体"/>
                <w:color w:val="auto"/>
                <w:sz w:val="24"/>
                <w:lang w:val="en-US" w:eastAsia="zh-CN"/>
              </w:rPr>
              <w:t>大理白族自治州</w:t>
            </w:r>
            <w:r>
              <w:rPr>
                <w:rFonts w:hint="eastAsia" w:ascii="Times New Roman" w:hAnsi="Times New Roman" w:cs="宋体"/>
                <w:color w:val="auto"/>
                <w:sz w:val="24"/>
                <w:lang w:val="en-US" w:eastAsia="zh-CN"/>
              </w:rPr>
              <w:t xml:space="preserve">人民政府于 2021 年 </w:t>
            </w:r>
            <w:r>
              <w:rPr>
                <w:rFonts w:hint="eastAsia" w:cs="宋体"/>
                <w:color w:val="auto"/>
                <w:sz w:val="24"/>
                <w:lang w:val="en-US" w:eastAsia="zh-CN"/>
              </w:rPr>
              <w:t>10</w:t>
            </w:r>
            <w:r>
              <w:rPr>
                <w:rFonts w:hint="eastAsia" w:ascii="Times New Roman" w:hAnsi="Times New Roman" w:cs="宋体"/>
                <w:color w:val="auto"/>
                <w:sz w:val="24"/>
                <w:lang w:val="en-US" w:eastAsia="zh-CN"/>
              </w:rPr>
              <w:t xml:space="preserve"> 月发布的</w:t>
            </w:r>
            <w:r>
              <w:rPr>
                <w:rFonts w:ascii="Times New Roman" w:hAnsi="Times New Roman" w:cs="宋体"/>
                <w:color w:val="auto"/>
                <w:sz w:val="24"/>
              </w:rPr>
              <w:t>《</w:t>
            </w:r>
            <w:r>
              <w:rPr>
                <w:rFonts w:hint="eastAsia" w:ascii="Times New Roman" w:hAnsi="Times New Roman" w:cs="宋体"/>
                <w:color w:val="auto"/>
                <w:sz w:val="24"/>
                <w:lang w:val="en-US" w:eastAsia="zh-CN"/>
              </w:rPr>
              <w:t>大理白族自治</w:t>
            </w:r>
            <w:r>
              <w:rPr>
                <w:rFonts w:ascii="Times New Roman" w:hAnsi="Times New Roman" w:cs="宋体"/>
                <w:color w:val="auto"/>
                <w:sz w:val="24"/>
              </w:rPr>
              <w:t>州人民政府办公室关于印发</w:t>
            </w:r>
            <w:r>
              <w:rPr>
                <w:rFonts w:hint="eastAsia" w:ascii="Times New Roman" w:hAnsi="Times New Roman" w:cs="宋体"/>
                <w:color w:val="auto"/>
                <w:sz w:val="24"/>
                <w:lang w:val="en-US" w:eastAsia="zh-CN"/>
              </w:rPr>
              <w:t>大理</w:t>
            </w:r>
            <w:r>
              <w:rPr>
                <w:rFonts w:ascii="Times New Roman" w:hAnsi="Times New Roman" w:cs="宋体"/>
                <w:color w:val="auto"/>
                <w:sz w:val="24"/>
              </w:rPr>
              <w:t>州“三线一单”生态环境分区管控实施方案的通知》（</w:t>
            </w:r>
            <w:r>
              <w:rPr>
                <w:rFonts w:hint="eastAsia" w:ascii="Times New Roman" w:hAnsi="Times New Roman" w:cs="宋体"/>
                <w:color w:val="auto"/>
                <w:sz w:val="24"/>
                <w:lang w:val="en-US" w:eastAsia="zh-CN"/>
              </w:rPr>
              <w:t>大</w:t>
            </w:r>
            <w:r>
              <w:rPr>
                <w:rFonts w:hint="eastAsia" w:ascii="Times New Roman" w:hAnsi="Times New Roman" w:cs="宋体"/>
                <w:color w:val="auto"/>
                <w:sz w:val="24"/>
              </w:rPr>
              <w:t>政发〔2021〕29号</w:t>
            </w:r>
            <w:r>
              <w:rPr>
                <w:rFonts w:ascii="Times New Roman" w:hAnsi="Times New Roman" w:cs="宋体"/>
                <w:color w:val="auto"/>
                <w:sz w:val="24"/>
              </w:rPr>
              <w:t>）</w:t>
            </w:r>
            <w:r>
              <w:rPr>
                <w:rFonts w:hint="eastAsia" w:ascii="Times New Roman" w:hAnsi="Times New Roman" w:cs="宋体"/>
                <w:color w:val="auto"/>
                <w:sz w:val="24"/>
                <w:lang w:val="en-US" w:eastAsia="zh-CN"/>
              </w:rPr>
              <w:t>中“附件</w:t>
            </w:r>
            <w:r>
              <w:rPr>
                <w:rFonts w:hint="eastAsia" w:cs="宋体"/>
                <w:color w:val="auto"/>
                <w:sz w:val="24"/>
                <w:lang w:val="en-US" w:eastAsia="zh-CN"/>
              </w:rPr>
              <w:t>3</w:t>
            </w:r>
            <w:r>
              <w:rPr>
                <w:rFonts w:hint="eastAsia" w:ascii="Times New Roman" w:hAnsi="Times New Roman" w:cs="宋体"/>
                <w:color w:val="auto"/>
                <w:sz w:val="24"/>
                <w:lang w:val="en-US" w:eastAsia="zh-CN"/>
              </w:rPr>
              <w:t xml:space="preserve"> 优先保护单元、一般管控单元生态环境准入清单”要求分析，本项目符合区域 “三线一单”生态环境分区管控的相关要求。</w:t>
            </w:r>
          </w:p>
          <w:p>
            <w:pPr>
              <w:autoSpaceDE w:val="0"/>
              <w:autoSpaceDN w:val="0"/>
              <w:adjustRightInd w:val="0"/>
              <w:snapToGrid w:val="0"/>
              <w:spacing w:line="360" w:lineRule="auto"/>
              <w:ind w:firstLine="480" w:firstLineChars="200"/>
              <w:rPr>
                <w:color w:val="auto"/>
              </w:rPr>
            </w:pPr>
            <w:r>
              <w:rPr>
                <w:rFonts w:hint="eastAsia" w:ascii="Times New Roman" w:hAnsi="Times New Roman" w:cs="宋体"/>
                <w:color w:val="auto"/>
                <w:sz w:val="24"/>
              </w:rPr>
              <w:t>综上所述，本项目的建设与“三线一单”的要求不冲突。</w:t>
            </w:r>
          </w:p>
          <w:p>
            <w:pPr>
              <w:spacing w:line="360" w:lineRule="auto"/>
              <w:ind w:firstLine="482" w:firstLineChars="200"/>
              <w:rPr>
                <w:b/>
                <w:bCs/>
                <w:sz w:val="24"/>
              </w:rPr>
            </w:pPr>
            <w:r>
              <w:rPr>
                <w:b/>
                <w:bCs/>
                <w:sz w:val="24"/>
              </w:rPr>
              <w:t>3、项目与《大理州打赢蓝天保卫战三年行动实施方案》、《大气污染防治行动计划》的相符性分析</w:t>
            </w:r>
          </w:p>
          <w:p>
            <w:pPr>
              <w:spacing w:line="360" w:lineRule="auto"/>
              <w:ind w:firstLine="480" w:firstLineChars="200"/>
              <w:rPr>
                <w:sz w:val="24"/>
              </w:rPr>
            </w:pPr>
            <w:r>
              <w:rPr>
                <w:sz w:val="24"/>
              </w:rPr>
              <w:t>根据《大理白族自治州人民政府关于印发大理州打赢蓝天保卫战三年行动实施方案的通知》（大政发〔2018〕57号），与项目有关的要求如下：</w:t>
            </w:r>
          </w:p>
          <w:p>
            <w:pPr>
              <w:spacing w:line="360" w:lineRule="auto"/>
              <w:ind w:firstLine="480" w:firstLineChars="200"/>
              <w:rPr>
                <w:sz w:val="24"/>
              </w:rPr>
            </w:pPr>
            <w:r>
              <w:rPr>
                <w:sz w:val="24"/>
              </w:rPr>
              <w:t>“强化工业企业无组织排放管控。开展钢铁、建材、有色、铸造等重点行业及燃煤锅炉无组织排放排查，建立管理台账，对物料（含废渣）运输、装卸、储存、转移和工艺过程等无组织排放实施深度治理，2020年底前，全州基本完成。加强扬尘综合治理。严格施工扬尘监管。2019年3月底前，建立施工工地管理清单。因地制宜稳步发展装配式建筑。将施工工地扬尘污染防治纳入文明施工管理范畴，建立扬尘控制责任制度，扬尘治理费列入工程造价。建立健全城市建筑工地扬尘污染防治网格化监管机制。突出解决城市扬尘污染问题。建筑施工工地要做到工地周边围挡、物料堆放覆盖、土方开挖湿法作业、路面硬化、出入车辆清洗、渣土车辆密闭运输“六个百分之百”，安装在线监测和视频监控设备，并与县级有关主管部门联网。将扬尘管理工作不到位的不良信息纳入建筑市场信用管理体系，情节严重的，列入建筑市场主体“黑名单”。加强道路扬尘综合整治。大力推进道路清扫保洁机械化作业，提高道路机械化清扫率，2020年底前，县城达到60%以上。严格渣土运输车辆运输密闭化规范化管理。”</w:t>
            </w:r>
          </w:p>
          <w:p>
            <w:pPr>
              <w:spacing w:line="360" w:lineRule="auto"/>
              <w:ind w:firstLine="480" w:firstLineChars="200"/>
              <w:rPr>
                <w:sz w:val="24"/>
              </w:rPr>
            </w:pPr>
            <w:r>
              <w:rPr>
                <w:sz w:val="24"/>
              </w:rPr>
              <w:t>本项目的建设符合资源环境法律法规、规划的要求。本项目砂石料堆场为半密闭式车间，并对堆场喷雾降尘；砂石装卸过程采取喷雾降尘的方式减小起尘量；项目砂石原料破碎工段设置喷淋装置，采取湿法破碎工艺进行破碎；运输扬尘采取喷雾降尘措施并及时清扫道路。最大限度减少扬尘污染。本项目施工期施工场地采取喷雾降尘的措施，运营期加强项目区及厂界四周的绿化，加强项目区的生产管理工作。综上，项目的建设符合《大理州打赢蓝天保卫战三年行动实施方案》的要求。</w:t>
            </w:r>
          </w:p>
          <w:p>
            <w:pPr>
              <w:spacing w:line="360" w:lineRule="auto"/>
              <w:ind w:firstLine="482" w:firstLineChars="200"/>
              <w:rPr>
                <w:b/>
                <w:bCs/>
                <w:sz w:val="24"/>
              </w:rPr>
            </w:pPr>
            <w:r>
              <w:rPr>
                <w:b/>
                <w:bCs/>
                <w:sz w:val="24"/>
              </w:rPr>
              <w:t>4、与《云南省沘江流域水污染防治规划》符合性分析</w:t>
            </w:r>
          </w:p>
          <w:p>
            <w:pPr>
              <w:spacing w:line="360" w:lineRule="auto"/>
              <w:ind w:firstLine="480" w:firstLineChars="200"/>
              <w:rPr>
                <w:sz w:val="24"/>
              </w:rPr>
            </w:pPr>
            <w:r>
              <w:rPr>
                <w:sz w:val="24"/>
              </w:rPr>
              <w:t>根据《云南省沘江流域水污染防治规划》：为科学治理沘江流域水污染，云南省环保厅2008年6月编制《沘江流域水污染防治规划》，2009年3月得到云南省政府批复，《规划》估算总投资18.10亿元，分两个阶段，实施7大工程39个建设项目来治理沘江水污染。通过各级、各部门历来的不懈努力，对水污染的综合整治，沘江水环境质量呈现好转的趋势。根据《大理白族自治州2020年环境状况公报》：兰坪金鸡桥断面、云龙县石门断面达水质达到Ⅲ类，达到水环境功能要求，各项污染物浓度都明显下降，目前是沘江水质最好的时期，已达到标准。</w:t>
            </w:r>
          </w:p>
          <w:p>
            <w:pPr>
              <w:spacing w:line="360" w:lineRule="auto"/>
              <w:ind w:firstLine="480" w:firstLineChars="200"/>
              <w:rPr>
                <w:sz w:val="24"/>
              </w:rPr>
            </w:pPr>
            <w:r>
              <w:rPr>
                <w:sz w:val="24"/>
              </w:rPr>
              <w:t>项目不外排废水，正常工况下不会对沘江造成影响，因此符合《云南省沘江流域水污染防治规划》。</w:t>
            </w:r>
          </w:p>
          <w:p>
            <w:pPr>
              <w:spacing w:line="360" w:lineRule="auto"/>
              <w:ind w:firstLine="482" w:firstLineChars="200"/>
              <w:rPr>
                <w:b/>
                <w:bCs/>
                <w:sz w:val="24"/>
              </w:rPr>
            </w:pPr>
            <w:r>
              <w:rPr>
                <w:b/>
                <w:bCs/>
                <w:sz w:val="24"/>
              </w:rPr>
              <w:t>5、选址合理性分析</w:t>
            </w:r>
          </w:p>
          <w:p>
            <w:pPr>
              <w:spacing w:line="360" w:lineRule="auto"/>
              <w:ind w:firstLine="480" w:firstLineChars="200"/>
              <w:rPr>
                <w:sz w:val="24"/>
              </w:rPr>
            </w:pPr>
            <w:r>
              <w:rPr>
                <w:sz w:val="24"/>
              </w:rPr>
              <w:t>项目所在地空气环境质量、地表水环境质量与声环境质量均良好，尚有一定的环境容量，该项目建设符合当地环境功能区划要求；项目生产过程中产生的污染物较少，废气、噪声经相应措施处理后可达标排放，固体废物可得到妥善处置。因此，在采取本评价提出的污染防治措施的前提下，项目在运营过程中污染物能够实现达标排放，项目的建设和营运不会对周边环境产生明显的影响。</w:t>
            </w:r>
          </w:p>
          <w:p>
            <w:pPr>
              <w:spacing w:line="360" w:lineRule="auto"/>
              <w:ind w:firstLine="480" w:firstLineChars="200"/>
              <w:rPr>
                <w:sz w:val="24"/>
              </w:rPr>
            </w:pPr>
            <w:r>
              <w:rPr>
                <w:sz w:val="24"/>
              </w:rPr>
              <w:t>项目所在地供水、供电可满足需求，交通便利。综上所述，项目所在区域环境具有相容性，无重大外环境制约因素，从环境保护的角度而言，本项目的选址合理可行。</w:t>
            </w:r>
          </w:p>
          <w:p>
            <w:pPr>
              <w:spacing w:line="360" w:lineRule="auto"/>
              <w:ind w:firstLine="482" w:firstLineChars="200"/>
              <w:rPr>
                <w:b/>
                <w:bCs/>
                <w:sz w:val="24"/>
              </w:rPr>
            </w:pPr>
            <w:r>
              <w:rPr>
                <w:b/>
                <w:bCs/>
                <w:sz w:val="24"/>
              </w:rPr>
              <w:t>6、平面布置合理性分析</w:t>
            </w:r>
          </w:p>
          <w:p>
            <w:pPr>
              <w:spacing w:line="336" w:lineRule="auto"/>
              <w:ind w:firstLine="480" w:firstLineChars="200"/>
              <w:rPr>
                <w:sz w:val="24"/>
              </w:rPr>
            </w:pPr>
            <w:r>
              <w:rPr>
                <w:sz w:val="24"/>
              </w:rPr>
              <w:t>按照建设单位提供的资料，结合场地地形特点，本项目平面规划布局分区明确，整个平面布置分为2个区：一区为租赁办公区，位于项目区西面；二区为生产区，位于厂区东部，从西向东依次为原料堆场、加工区、成品堆场，初期雨水收集池位于厂区东侧最低处，可以满足雨水重力流向要求。生产区与办公区分开布置，区域常年主导风向为南东南风，常年主导风向下风向无常住居民点，办公区位于生产区的侧风向，生产区粉尘对办公区影响可接受。</w:t>
            </w:r>
          </w:p>
          <w:p>
            <w:pPr>
              <w:spacing w:line="336" w:lineRule="auto"/>
              <w:ind w:firstLine="480" w:firstLineChars="200"/>
            </w:pPr>
            <w:r>
              <w:rPr>
                <w:sz w:val="24"/>
              </w:rPr>
              <w:t>从整体布局来看，项目平面布置基本合理。</w:t>
            </w:r>
            <w:r>
              <w:t xml:space="preserve"> </w:t>
            </w:r>
          </w:p>
        </w:tc>
      </w:tr>
    </w:tbl>
    <w:p>
      <w:pPr>
        <w:spacing w:line="360" w:lineRule="auto"/>
        <w:outlineLvl w:val="0"/>
        <w:rPr>
          <w:rFonts w:eastAsia="黑体"/>
          <w:sz w:val="30"/>
        </w:rPr>
        <w:sectPr>
          <w:footerReference r:id="rId5" w:type="default"/>
          <w:pgSz w:w="11906" w:h="16838"/>
          <w:pgMar w:top="1134" w:right="1247" w:bottom="1134" w:left="1417" w:header="851" w:footer="1077" w:gutter="0"/>
          <w:pgNumType w:fmt="numberInDash" w:start="1"/>
          <w:cols w:space="720" w:num="1"/>
          <w:docGrid w:linePitch="312" w:charSpace="0"/>
        </w:sectPr>
      </w:pPr>
    </w:p>
    <w:p>
      <w:pPr>
        <w:pStyle w:val="22"/>
        <w:jc w:val="center"/>
        <w:outlineLvl w:val="0"/>
        <w:rPr>
          <w:rFonts w:ascii="Times New Roman" w:hAnsi="Times New Roman" w:eastAsia="黑体"/>
          <w:snapToGrid w:val="0"/>
          <w:sz w:val="30"/>
          <w:szCs w:val="30"/>
        </w:rPr>
      </w:pPr>
      <w:bookmarkStart w:id="3" w:name="_Toc31638"/>
      <w:r>
        <w:rPr>
          <w:rFonts w:ascii="Times New Roman" w:hAnsi="Times New Roman" w:eastAsia="黑体"/>
          <w:snapToGrid w:val="0"/>
          <w:sz w:val="30"/>
          <w:szCs w:val="30"/>
        </w:rPr>
        <w:t>二、建设项目工程分析</w:t>
      </w:r>
      <w:bookmarkEnd w:id="3"/>
    </w:p>
    <w:tbl>
      <w:tblPr>
        <w:tblStyle w:val="25"/>
        <w:tblW w:w="94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09" w:type="dxa"/>
            <w:vAlign w:val="center"/>
          </w:tcPr>
          <w:p>
            <w:pPr>
              <w:pStyle w:val="22"/>
              <w:adjustRightInd w:val="0"/>
              <w:snapToGrid w:val="0"/>
              <w:spacing w:before="0" w:beforeAutospacing="0" w:after="0" w:afterAutospacing="0"/>
              <w:jc w:val="center"/>
              <w:rPr>
                <w:rFonts w:ascii="Times New Roman" w:hAnsi="Times New Roman"/>
                <w:szCs w:val="24"/>
              </w:rPr>
            </w:pPr>
            <w:r>
              <w:rPr>
                <w:rFonts w:ascii="Times New Roman" w:hAnsi="Times New Roman"/>
                <w:szCs w:val="24"/>
              </w:rPr>
              <w:t>建设内容</w:t>
            </w:r>
          </w:p>
        </w:tc>
        <w:tc>
          <w:tcPr>
            <w:tcW w:w="8749" w:type="dxa"/>
          </w:tcPr>
          <w:p>
            <w:pPr>
              <w:spacing w:line="360" w:lineRule="auto"/>
              <w:ind w:firstLine="482" w:firstLineChars="200"/>
              <w:jc w:val="left"/>
              <w:rPr>
                <w:b/>
                <w:bCs/>
                <w:color w:val="auto"/>
                <w:sz w:val="24"/>
              </w:rPr>
            </w:pPr>
            <w:r>
              <w:rPr>
                <w:b/>
                <w:bCs/>
                <w:color w:val="auto"/>
                <w:sz w:val="24"/>
              </w:rPr>
              <w:t>1、项目由来</w:t>
            </w:r>
          </w:p>
          <w:p>
            <w:pPr>
              <w:pStyle w:val="80"/>
              <w:adjustRightInd w:val="0"/>
              <w:snapToGrid w:val="0"/>
              <w:rPr>
                <w:color w:val="auto"/>
              </w:rPr>
            </w:pPr>
            <w:r>
              <w:rPr>
                <w:color w:val="auto"/>
              </w:rPr>
              <w:t>随着城乡一体化的进程、城市化水平的提高、西部大开发的实施，市场对建材的需求量日益增加，特别是高速公路基础设施的建设，对石材需求量大大增加，要求更多的石材以满足市场的需求。按照石材综合利用要坚持“因地制宜，积极利用”的指导思想，实行将资源化利用与企业发展相结合，资源化利用与污染治理相结合，实现经济效益、环境效益、社会效益的统一。</w:t>
            </w:r>
          </w:p>
          <w:p>
            <w:pPr>
              <w:pStyle w:val="80"/>
              <w:adjustRightInd w:val="0"/>
              <w:snapToGrid w:val="0"/>
              <w:rPr>
                <w:color w:val="auto"/>
              </w:rPr>
            </w:pPr>
            <w:r>
              <w:rPr>
                <w:color w:val="auto"/>
              </w:rPr>
              <w:t>砂石作为主要建筑原料之一，在各种建筑工程中得到广泛使用，目前尚无有效替代产品能取代其地位。随着社会经济的快速发展，砂石市场需求日益快速增加。</w:t>
            </w:r>
          </w:p>
          <w:p>
            <w:pPr>
              <w:pStyle w:val="80"/>
              <w:adjustRightInd w:val="0"/>
              <w:snapToGrid w:val="0"/>
              <w:rPr>
                <w:color w:val="auto"/>
              </w:rPr>
            </w:pPr>
            <w:r>
              <w:rPr>
                <w:color w:val="auto"/>
              </w:rPr>
              <w:t>目前大理州的石料产品主要用于房屋建筑、兴修公路、桥梁等。砂石产品的需求量大，市场营销情况好。近年来大理-漾鼻-云龙-兰坪高速公路云龙至兰坪段正在建设中。砂石料的用量缺口巨大。</w:t>
            </w:r>
          </w:p>
          <w:p>
            <w:pPr>
              <w:pStyle w:val="80"/>
              <w:adjustRightInd w:val="0"/>
              <w:snapToGrid w:val="0"/>
              <w:rPr>
                <w:color w:val="auto"/>
              </w:rPr>
            </w:pPr>
            <w:r>
              <w:rPr>
                <w:color w:val="auto"/>
              </w:rPr>
              <w:t>云龙县鑫业商贸有限公司是一家以石料破碎加工生产机制砂、碎石的公司，主要经营范围为石料破碎加工、销售等。由于目前云龙县市场对于碎石和机制砂的需求量日益剧增，企业决定投资120万元在云龙县白石镇中和村租赁场地，新购碎石机制砂的生产设备等，生产碎石和机制砂产品，预计达到年产碎石和机制砂10万吨。本项目原料-矿石为外购，无自建矿山。环评要求：项目外购矿山原料均应来源自有合法手续的矿山。</w:t>
            </w:r>
          </w:p>
          <w:p>
            <w:pPr>
              <w:pStyle w:val="80"/>
              <w:adjustRightInd w:val="0"/>
              <w:snapToGrid w:val="0"/>
              <w:rPr>
                <w:color w:val="auto"/>
              </w:rPr>
            </w:pPr>
            <w:r>
              <w:rPr>
                <w:color w:val="auto"/>
              </w:rPr>
              <w:t>根据《中华人民共和国环境保护法》、《中华人民共和国环境影响评价法》以及《建设项目环境保护管理条例》的要求，应对云龙县鑫业商贸有限公司白石镇鑫业砂石料加工场建设项目进行环境影响评价。根据《建设项目环境影响评价分类管理名录》（2021年版)中第二十七号：非金属矿物制品业，56砖瓦、石材等建筑材料制造，确定该项目的环境影响评价形式为环境影响报告表。为此，云龙县鑫业商贸有限公司委托我公司进行该项目的环境影响评价工作。</w:t>
            </w:r>
          </w:p>
          <w:p>
            <w:pPr>
              <w:pStyle w:val="80"/>
              <w:adjustRightInd w:val="0"/>
              <w:snapToGrid w:val="0"/>
              <w:rPr>
                <w:color w:val="auto"/>
              </w:rPr>
            </w:pPr>
            <w:r>
              <w:rPr>
                <w:color w:val="auto"/>
              </w:rPr>
              <w:t>我公司受云龙县鑫业有限公司委托，承担该项目环境影响评价工作。我公司在接受委托后，开展了现场踏勘、资料的收集和整理工作。在掌握了充分的资料数据基础上，对有关环境现状和可能产生的环境影响进行分析，根据国家建设项目环境管理的有关规定，按照环境影响评价有关技术规范，编制了该项目环境影响报告表，供建设单位上报生态环境主管部门审批，并作为环境管理的依据。</w:t>
            </w:r>
          </w:p>
          <w:p>
            <w:pPr>
              <w:spacing w:line="360" w:lineRule="auto"/>
              <w:ind w:firstLine="482" w:firstLineChars="200"/>
              <w:jc w:val="left"/>
              <w:rPr>
                <w:b/>
                <w:bCs/>
                <w:color w:val="auto"/>
                <w:sz w:val="24"/>
              </w:rPr>
            </w:pPr>
            <w:r>
              <w:rPr>
                <w:b/>
                <w:bCs/>
                <w:color w:val="auto"/>
                <w:sz w:val="24"/>
              </w:rPr>
              <w:t>2、工程建设</w:t>
            </w:r>
          </w:p>
          <w:p>
            <w:pPr>
              <w:spacing w:line="360" w:lineRule="auto"/>
              <w:ind w:firstLine="480" w:firstLineChars="200"/>
              <w:rPr>
                <w:color w:val="auto"/>
                <w:sz w:val="24"/>
              </w:rPr>
            </w:pPr>
            <w:r>
              <w:rPr>
                <w:color w:val="auto"/>
                <w:sz w:val="24"/>
              </w:rPr>
              <w:t>（1）项目概况：</w:t>
            </w:r>
          </w:p>
          <w:p>
            <w:pPr>
              <w:spacing w:line="360" w:lineRule="auto"/>
              <w:ind w:firstLine="480" w:firstLineChars="200"/>
              <w:rPr>
                <w:color w:val="auto"/>
                <w:sz w:val="24"/>
              </w:rPr>
            </w:pPr>
            <w:r>
              <w:rPr>
                <w:color w:val="auto"/>
                <w:sz w:val="24"/>
              </w:rPr>
              <w:t>项目名称：白石镇鑫业砂石料加工场建设项目；</w:t>
            </w:r>
          </w:p>
          <w:p>
            <w:pPr>
              <w:spacing w:line="360" w:lineRule="auto"/>
              <w:ind w:firstLine="480" w:firstLineChars="200"/>
              <w:rPr>
                <w:color w:val="auto"/>
                <w:sz w:val="24"/>
              </w:rPr>
            </w:pPr>
            <w:r>
              <w:rPr>
                <w:color w:val="auto"/>
                <w:sz w:val="24"/>
              </w:rPr>
              <w:t>建设性质：新建；</w:t>
            </w:r>
          </w:p>
          <w:p>
            <w:pPr>
              <w:spacing w:line="360" w:lineRule="auto"/>
              <w:ind w:firstLine="480" w:firstLineChars="200"/>
              <w:rPr>
                <w:color w:val="auto"/>
                <w:sz w:val="24"/>
              </w:rPr>
            </w:pPr>
            <w:r>
              <w:rPr>
                <w:color w:val="auto"/>
                <w:sz w:val="24"/>
              </w:rPr>
              <w:t>建设单位：云龙县鑫业商贸有限公司；</w:t>
            </w:r>
          </w:p>
          <w:p>
            <w:pPr>
              <w:spacing w:line="360" w:lineRule="auto"/>
              <w:ind w:firstLine="480" w:firstLineChars="200"/>
              <w:rPr>
                <w:color w:val="auto"/>
                <w:sz w:val="24"/>
              </w:rPr>
            </w:pPr>
            <w:r>
              <w:rPr>
                <w:color w:val="auto"/>
                <w:sz w:val="24"/>
              </w:rPr>
              <w:t>建设地点：云南省大理白族自治州云龙县白石镇中和村；</w:t>
            </w:r>
          </w:p>
          <w:p>
            <w:pPr>
              <w:spacing w:line="360" w:lineRule="auto"/>
              <w:ind w:firstLine="480" w:firstLineChars="200"/>
              <w:rPr>
                <w:color w:val="auto"/>
                <w:sz w:val="24"/>
              </w:rPr>
            </w:pPr>
            <w:r>
              <w:rPr>
                <w:color w:val="auto"/>
                <w:sz w:val="24"/>
              </w:rPr>
              <w:t>总投资：120万元。</w:t>
            </w:r>
          </w:p>
          <w:p>
            <w:pPr>
              <w:spacing w:line="360" w:lineRule="auto"/>
              <w:ind w:firstLine="480" w:firstLineChars="200"/>
              <w:rPr>
                <w:color w:val="auto"/>
                <w:sz w:val="24"/>
              </w:rPr>
            </w:pPr>
            <w:r>
              <w:rPr>
                <w:color w:val="auto"/>
                <w:sz w:val="24"/>
              </w:rPr>
              <w:t>资金来源：资金自筹120万元。</w:t>
            </w:r>
          </w:p>
          <w:p>
            <w:pPr>
              <w:spacing w:line="360" w:lineRule="auto"/>
              <w:ind w:firstLine="480" w:firstLineChars="200"/>
              <w:rPr>
                <w:color w:val="auto"/>
                <w:sz w:val="24"/>
              </w:rPr>
            </w:pPr>
            <w:r>
              <w:rPr>
                <w:color w:val="auto"/>
                <w:sz w:val="24"/>
              </w:rPr>
              <w:t>（2）建设内容：</w:t>
            </w:r>
          </w:p>
          <w:p>
            <w:pPr>
              <w:pStyle w:val="80"/>
              <w:rPr>
                <w:color w:val="auto"/>
              </w:rPr>
            </w:pPr>
            <w:r>
              <w:rPr>
                <w:color w:val="auto"/>
              </w:rPr>
              <w:t>根据建设单位提供的资料，本项目建设占地面积45000平方米，位于大理白族自治州云龙县白石镇中和村，主要进行砂石料加工生产，年生产10万吨。项目功能区主要包括生产区及其它辅助设施，并设有危废暂存间。项目平面布置图见附图2，项目的工程组成详见表2-1。</w:t>
            </w:r>
          </w:p>
          <w:p>
            <w:pPr>
              <w:pStyle w:val="80"/>
              <w:rPr>
                <w:color w:val="auto"/>
              </w:rPr>
            </w:pPr>
            <w:r>
              <w:rPr>
                <w:color w:val="auto"/>
              </w:rPr>
              <w:t>项目依托租赁企业已建成的建筑作为办公区，整改后即可使用。</w:t>
            </w:r>
          </w:p>
          <w:p>
            <w:pPr>
              <w:pStyle w:val="71"/>
              <w:rPr>
                <w:rFonts w:cs="Times New Roman"/>
                <w:color w:val="auto"/>
              </w:rPr>
            </w:pPr>
            <w:r>
              <w:rPr>
                <w:rFonts w:cs="Times New Roman"/>
                <w:color w:val="auto"/>
              </w:rPr>
              <w:t>表2-1    建设项目内容一览表</w:t>
            </w:r>
          </w:p>
          <w:tbl>
            <w:tblPr>
              <w:tblStyle w:val="26"/>
              <w:tblW w:w="83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683"/>
              <w:gridCol w:w="5769"/>
              <w:gridCol w:w="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5" w:type="dxa"/>
                  <w:vMerge w:val="restart"/>
                  <w:vAlign w:val="center"/>
                </w:tcPr>
                <w:p>
                  <w:pPr>
                    <w:pStyle w:val="75"/>
                    <w:spacing w:before="24" w:after="24"/>
                    <w:rPr>
                      <w:color w:val="auto"/>
                    </w:rPr>
                  </w:pPr>
                  <w:r>
                    <w:rPr>
                      <w:color w:val="auto"/>
                    </w:rPr>
                    <w:t>工程</w:t>
                  </w:r>
                </w:p>
                <w:p>
                  <w:pPr>
                    <w:pStyle w:val="75"/>
                    <w:spacing w:before="24" w:after="24"/>
                    <w:rPr>
                      <w:color w:val="auto"/>
                    </w:rPr>
                  </w:pPr>
                  <w:r>
                    <w:rPr>
                      <w:color w:val="auto"/>
                    </w:rPr>
                    <w:t>分类</w:t>
                  </w:r>
                </w:p>
              </w:tc>
              <w:tc>
                <w:tcPr>
                  <w:tcW w:w="6452" w:type="dxa"/>
                  <w:gridSpan w:val="2"/>
                  <w:vMerge w:val="restart"/>
                  <w:vAlign w:val="center"/>
                </w:tcPr>
                <w:p>
                  <w:pPr>
                    <w:pStyle w:val="75"/>
                    <w:spacing w:before="24" w:after="24"/>
                    <w:rPr>
                      <w:color w:val="auto"/>
                    </w:rPr>
                  </w:pPr>
                  <w:r>
                    <w:rPr>
                      <w:color w:val="auto"/>
                    </w:rPr>
                    <w:t>组成项目</w:t>
                  </w:r>
                </w:p>
              </w:tc>
              <w:tc>
                <w:tcPr>
                  <w:tcW w:w="897" w:type="dxa"/>
                  <w:vMerge w:val="restart"/>
                  <w:vAlign w:val="center"/>
                </w:tcPr>
                <w:p>
                  <w:pPr>
                    <w:pStyle w:val="75"/>
                    <w:spacing w:before="24" w:after="24"/>
                    <w:rPr>
                      <w:color w:val="auto"/>
                    </w:rPr>
                  </w:pPr>
                  <w:r>
                    <w:rPr>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955" w:type="dxa"/>
                  <w:vMerge w:val="continue"/>
                  <w:vAlign w:val="center"/>
                </w:tcPr>
                <w:p>
                  <w:pPr>
                    <w:pStyle w:val="75"/>
                    <w:spacing w:before="24" w:after="24"/>
                    <w:rPr>
                      <w:color w:val="auto"/>
                    </w:rPr>
                  </w:pPr>
                </w:p>
              </w:tc>
              <w:tc>
                <w:tcPr>
                  <w:tcW w:w="6452" w:type="dxa"/>
                  <w:gridSpan w:val="2"/>
                  <w:vMerge w:val="continue"/>
                  <w:vAlign w:val="center"/>
                </w:tcPr>
                <w:p>
                  <w:pPr>
                    <w:pStyle w:val="75"/>
                    <w:spacing w:before="24" w:after="24"/>
                    <w:rPr>
                      <w:color w:val="auto"/>
                    </w:rPr>
                  </w:pPr>
                </w:p>
              </w:tc>
              <w:tc>
                <w:tcPr>
                  <w:tcW w:w="897" w:type="dxa"/>
                  <w:vMerge w:val="continue"/>
                  <w:vAlign w:val="center"/>
                </w:tcPr>
                <w:p>
                  <w:pPr>
                    <w:pStyle w:val="75"/>
                    <w:spacing w:before="24" w:after="24"/>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55" w:type="dxa"/>
                  <w:vAlign w:val="center"/>
                </w:tcPr>
                <w:p>
                  <w:pPr>
                    <w:pStyle w:val="75"/>
                    <w:spacing w:before="24" w:after="24"/>
                    <w:rPr>
                      <w:color w:val="auto"/>
                    </w:rPr>
                  </w:pPr>
                  <w:r>
                    <w:rPr>
                      <w:color w:val="auto"/>
                    </w:rPr>
                    <w:t>主体工程</w:t>
                  </w:r>
                </w:p>
              </w:tc>
              <w:tc>
                <w:tcPr>
                  <w:tcW w:w="683" w:type="dxa"/>
                  <w:vAlign w:val="center"/>
                </w:tcPr>
                <w:p>
                  <w:pPr>
                    <w:pStyle w:val="75"/>
                    <w:spacing w:before="24" w:after="24"/>
                    <w:rPr>
                      <w:color w:val="auto"/>
                    </w:rPr>
                  </w:pPr>
                  <w:r>
                    <w:rPr>
                      <w:color w:val="auto"/>
                    </w:rPr>
                    <w:t>加工区</w:t>
                  </w:r>
                </w:p>
              </w:tc>
              <w:tc>
                <w:tcPr>
                  <w:tcW w:w="5769" w:type="dxa"/>
                  <w:vAlign w:val="center"/>
                </w:tcPr>
                <w:p>
                  <w:pPr>
                    <w:pStyle w:val="75"/>
                    <w:spacing w:before="24" w:after="24"/>
                    <w:rPr>
                      <w:color w:val="auto"/>
                    </w:rPr>
                  </w:pPr>
                  <w:r>
                    <w:rPr>
                      <w:color w:val="auto"/>
                    </w:rPr>
                    <w:t>占地面积为10000㎡。采用彩钢棚全封闭覆盖。内设置一条生产线，将外购的原料经破碎加工成碎石和机制砂。内设有破碎机一台、打砂机一台、振动筛一台和三条传输带。</w:t>
                  </w:r>
                </w:p>
              </w:tc>
              <w:tc>
                <w:tcPr>
                  <w:tcW w:w="897" w:type="dxa"/>
                  <w:vAlign w:val="center"/>
                </w:tcPr>
                <w:p>
                  <w:pPr>
                    <w:pStyle w:val="75"/>
                    <w:spacing w:before="24" w:after="24"/>
                    <w:rPr>
                      <w:color w:val="auto"/>
                    </w:rPr>
                  </w:pPr>
                  <w:r>
                    <w:rPr>
                      <w:color w:val="auto"/>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55" w:type="dxa"/>
                  <w:vMerge w:val="restart"/>
                  <w:vAlign w:val="center"/>
                </w:tcPr>
                <w:p>
                  <w:pPr>
                    <w:pStyle w:val="75"/>
                    <w:spacing w:before="24" w:after="24"/>
                    <w:rPr>
                      <w:color w:val="auto"/>
                    </w:rPr>
                  </w:pPr>
                  <w:r>
                    <w:rPr>
                      <w:color w:val="auto"/>
                    </w:rPr>
                    <w:t>储运工程</w:t>
                  </w:r>
                </w:p>
              </w:tc>
              <w:tc>
                <w:tcPr>
                  <w:tcW w:w="683" w:type="dxa"/>
                  <w:vAlign w:val="center"/>
                </w:tcPr>
                <w:p>
                  <w:pPr>
                    <w:pStyle w:val="75"/>
                    <w:spacing w:before="24" w:after="24"/>
                    <w:rPr>
                      <w:color w:val="auto"/>
                    </w:rPr>
                  </w:pPr>
                  <w:r>
                    <w:rPr>
                      <w:color w:val="auto"/>
                    </w:rPr>
                    <w:t>原料堆场</w:t>
                  </w:r>
                </w:p>
              </w:tc>
              <w:tc>
                <w:tcPr>
                  <w:tcW w:w="5769" w:type="dxa"/>
                  <w:vAlign w:val="center"/>
                </w:tcPr>
                <w:p>
                  <w:pPr>
                    <w:pStyle w:val="75"/>
                    <w:spacing w:before="24" w:after="24"/>
                    <w:rPr>
                      <w:color w:val="auto"/>
                    </w:rPr>
                  </w:pPr>
                  <w:r>
                    <w:rPr>
                      <w:color w:val="auto"/>
                    </w:rPr>
                    <w:t>占地面积为5000㎡，用于原料堆放，彩钢棚封闭，地面硬化</w:t>
                  </w:r>
                </w:p>
              </w:tc>
              <w:tc>
                <w:tcPr>
                  <w:tcW w:w="897" w:type="dxa"/>
                  <w:vMerge w:val="restart"/>
                  <w:vAlign w:val="center"/>
                </w:tcPr>
                <w:p>
                  <w:pPr>
                    <w:pStyle w:val="75"/>
                    <w:spacing w:before="24" w:after="24"/>
                    <w:rPr>
                      <w:color w:val="auto"/>
                    </w:rPr>
                  </w:pPr>
                  <w:r>
                    <w:rPr>
                      <w:color w:val="auto"/>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55" w:type="dxa"/>
                  <w:vMerge w:val="continue"/>
                  <w:vAlign w:val="center"/>
                </w:tcPr>
                <w:p>
                  <w:pPr>
                    <w:pStyle w:val="75"/>
                    <w:spacing w:before="24" w:after="24"/>
                    <w:rPr>
                      <w:color w:val="auto"/>
                    </w:rPr>
                  </w:pPr>
                </w:p>
              </w:tc>
              <w:tc>
                <w:tcPr>
                  <w:tcW w:w="683" w:type="dxa"/>
                  <w:vAlign w:val="center"/>
                </w:tcPr>
                <w:p>
                  <w:pPr>
                    <w:pStyle w:val="75"/>
                    <w:spacing w:before="24" w:after="24"/>
                    <w:rPr>
                      <w:color w:val="auto"/>
                    </w:rPr>
                  </w:pPr>
                  <w:r>
                    <w:rPr>
                      <w:color w:val="auto"/>
                    </w:rPr>
                    <w:t>产品堆场</w:t>
                  </w:r>
                </w:p>
              </w:tc>
              <w:tc>
                <w:tcPr>
                  <w:tcW w:w="5769" w:type="dxa"/>
                  <w:vAlign w:val="center"/>
                </w:tcPr>
                <w:p>
                  <w:pPr>
                    <w:pStyle w:val="75"/>
                    <w:spacing w:before="24" w:after="24"/>
                    <w:rPr>
                      <w:color w:val="auto"/>
                    </w:rPr>
                  </w:pPr>
                  <w:r>
                    <w:rPr>
                      <w:color w:val="auto"/>
                    </w:rPr>
                    <w:t>占地面积为5000㎡，用于产品堆放，彩钢棚封闭，地面硬化</w:t>
                  </w:r>
                </w:p>
              </w:tc>
              <w:tc>
                <w:tcPr>
                  <w:tcW w:w="897" w:type="dxa"/>
                  <w:vMerge w:val="continue"/>
                  <w:vAlign w:val="center"/>
                </w:tcPr>
                <w:p>
                  <w:pPr>
                    <w:pStyle w:val="75"/>
                    <w:spacing w:before="24" w:after="24"/>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55" w:type="dxa"/>
                  <w:vAlign w:val="center"/>
                </w:tcPr>
                <w:p>
                  <w:pPr>
                    <w:pStyle w:val="75"/>
                    <w:spacing w:before="24" w:after="24"/>
                    <w:rPr>
                      <w:color w:val="auto"/>
                    </w:rPr>
                  </w:pPr>
                  <w:r>
                    <w:rPr>
                      <w:color w:val="auto"/>
                    </w:rPr>
                    <w:t>办公及生活设施</w:t>
                  </w:r>
                </w:p>
              </w:tc>
              <w:tc>
                <w:tcPr>
                  <w:tcW w:w="683" w:type="dxa"/>
                  <w:vAlign w:val="center"/>
                </w:tcPr>
                <w:p>
                  <w:pPr>
                    <w:pStyle w:val="75"/>
                    <w:spacing w:before="24" w:after="24"/>
                    <w:rPr>
                      <w:color w:val="auto"/>
                    </w:rPr>
                  </w:pPr>
                  <w:r>
                    <w:rPr>
                      <w:color w:val="auto"/>
                    </w:rPr>
                    <w:t>办公区</w:t>
                  </w:r>
                </w:p>
              </w:tc>
              <w:tc>
                <w:tcPr>
                  <w:tcW w:w="5769" w:type="dxa"/>
                  <w:vAlign w:val="center"/>
                </w:tcPr>
                <w:p>
                  <w:pPr>
                    <w:pStyle w:val="75"/>
                    <w:spacing w:before="24" w:after="24"/>
                    <w:rPr>
                      <w:color w:val="auto"/>
                    </w:rPr>
                  </w:pPr>
                  <w:r>
                    <w:rPr>
                      <w:color w:val="auto"/>
                    </w:rPr>
                    <w:t>占地面积为200㎡。用于厂内日常办公和食宿使用及堆放杂物。</w:t>
                  </w:r>
                </w:p>
              </w:tc>
              <w:tc>
                <w:tcPr>
                  <w:tcW w:w="897" w:type="dxa"/>
                  <w:vAlign w:val="center"/>
                </w:tcPr>
                <w:p>
                  <w:pPr>
                    <w:pStyle w:val="75"/>
                    <w:spacing w:before="24" w:after="24"/>
                    <w:rPr>
                      <w:color w:val="auto"/>
                    </w:rPr>
                  </w:pPr>
                  <w:r>
                    <w:rPr>
                      <w:color w:val="auto"/>
                    </w:rPr>
                    <w:t>依托租赁企业已建建筑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55" w:type="dxa"/>
                  <w:vMerge w:val="restart"/>
                  <w:vAlign w:val="center"/>
                </w:tcPr>
                <w:p>
                  <w:pPr>
                    <w:pStyle w:val="75"/>
                    <w:spacing w:before="24" w:after="24"/>
                    <w:rPr>
                      <w:color w:val="auto"/>
                    </w:rPr>
                  </w:pPr>
                  <w:r>
                    <w:rPr>
                      <w:color w:val="auto"/>
                    </w:rPr>
                    <w:t>公用工程</w:t>
                  </w:r>
                </w:p>
              </w:tc>
              <w:tc>
                <w:tcPr>
                  <w:tcW w:w="683" w:type="dxa"/>
                  <w:vAlign w:val="center"/>
                </w:tcPr>
                <w:p>
                  <w:pPr>
                    <w:pStyle w:val="75"/>
                    <w:spacing w:before="24" w:after="24"/>
                    <w:rPr>
                      <w:color w:val="auto"/>
                    </w:rPr>
                  </w:pPr>
                  <w:r>
                    <w:rPr>
                      <w:color w:val="auto"/>
                    </w:rPr>
                    <w:t>给水</w:t>
                  </w:r>
                </w:p>
              </w:tc>
              <w:tc>
                <w:tcPr>
                  <w:tcW w:w="5769" w:type="dxa"/>
                  <w:vAlign w:val="center"/>
                </w:tcPr>
                <w:p>
                  <w:pPr>
                    <w:pStyle w:val="75"/>
                    <w:spacing w:before="24" w:after="24"/>
                    <w:rPr>
                      <w:color w:val="auto"/>
                    </w:rPr>
                  </w:pPr>
                  <w:r>
                    <w:rPr>
                      <w:color w:val="auto"/>
                    </w:rPr>
                    <w:t>生活用水：自来水</w:t>
                  </w:r>
                </w:p>
                <w:p>
                  <w:pPr>
                    <w:pStyle w:val="75"/>
                    <w:spacing w:before="24" w:after="24"/>
                    <w:rPr>
                      <w:color w:val="auto"/>
                    </w:rPr>
                  </w:pPr>
                  <w:r>
                    <w:rPr>
                      <w:color w:val="auto"/>
                    </w:rPr>
                    <w:t>生产用水：雨水及自来水</w:t>
                  </w:r>
                </w:p>
              </w:tc>
              <w:tc>
                <w:tcPr>
                  <w:tcW w:w="897" w:type="dxa"/>
                  <w:vMerge w:val="restart"/>
                  <w:vAlign w:val="center"/>
                </w:tcPr>
                <w:p>
                  <w:pPr>
                    <w:pStyle w:val="75"/>
                    <w:spacing w:before="24" w:after="24"/>
                    <w:rPr>
                      <w:color w:val="auto"/>
                    </w:rPr>
                  </w:pPr>
                  <w:r>
                    <w:rPr>
                      <w:color w:val="auto"/>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55" w:type="dxa"/>
                  <w:vMerge w:val="continue"/>
                  <w:vAlign w:val="center"/>
                </w:tcPr>
                <w:p>
                  <w:pPr>
                    <w:pStyle w:val="75"/>
                    <w:spacing w:before="24" w:after="24"/>
                    <w:rPr>
                      <w:color w:val="auto"/>
                    </w:rPr>
                  </w:pPr>
                </w:p>
              </w:tc>
              <w:tc>
                <w:tcPr>
                  <w:tcW w:w="683" w:type="dxa"/>
                  <w:vAlign w:val="center"/>
                </w:tcPr>
                <w:p>
                  <w:pPr>
                    <w:pStyle w:val="75"/>
                    <w:spacing w:before="24" w:after="24"/>
                    <w:rPr>
                      <w:color w:val="auto"/>
                    </w:rPr>
                  </w:pPr>
                  <w:r>
                    <w:rPr>
                      <w:color w:val="auto"/>
                    </w:rPr>
                    <w:t>供电</w:t>
                  </w:r>
                </w:p>
              </w:tc>
              <w:tc>
                <w:tcPr>
                  <w:tcW w:w="5769" w:type="dxa"/>
                  <w:vAlign w:val="center"/>
                </w:tcPr>
                <w:p>
                  <w:pPr>
                    <w:pStyle w:val="75"/>
                    <w:spacing w:before="24" w:after="24"/>
                    <w:rPr>
                      <w:color w:val="auto"/>
                    </w:rPr>
                  </w:pPr>
                  <w:r>
                    <w:rPr>
                      <w:color w:val="auto"/>
                    </w:rPr>
                    <w:t>由市政电网供给</w:t>
                  </w:r>
                </w:p>
              </w:tc>
              <w:tc>
                <w:tcPr>
                  <w:tcW w:w="897" w:type="dxa"/>
                  <w:vMerge w:val="continue"/>
                  <w:vAlign w:val="center"/>
                </w:tcPr>
                <w:p>
                  <w:pPr>
                    <w:pStyle w:val="75"/>
                    <w:spacing w:before="24" w:after="24"/>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55" w:type="dxa"/>
                  <w:vMerge w:val="continue"/>
                  <w:vAlign w:val="center"/>
                </w:tcPr>
                <w:p>
                  <w:pPr>
                    <w:pStyle w:val="75"/>
                    <w:spacing w:before="24" w:after="24"/>
                    <w:rPr>
                      <w:color w:val="auto"/>
                    </w:rPr>
                  </w:pPr>
                </w:p>
              </w:tc>
              <w:tc>
                <w:tcPr>
                  <w:tcW w:w="683" w:type="dxa"/>
                  <w:vAlign w:val="center"/>
                </w:tcPr>
                <w:p>
                  <w:pPr>
                    <w:pStyle w:val="75"/>
                    <w:spacing w:before="24" w:after="24"/>
                    <w:rPr>
                      <w:color w:val="auto"/>
                    </w:rPr>
                  </w:pPr>
                  <w:r>
                    <w:rPr>
                      <w:color w:val="auto"/>
                    </w:rPr>
                    <w:t>排水</w:t>
                  </w:r>
                </w:p>
              </w:tc>
              <w:tc>
                <w:tcPr>
                  <w:tcW w:w="5769" w:type="dxa"/>
                  <w:vAlign w:val="center"/>
                </w:tcPr>
                <w:p>
                  <w:pPr>
                    <w:pStyle w:val="75"/>
                    <w:spacing w:before="24" w:after="24"/>
                    <w:rPr>
                      <w:color w:val="auto"/>
                    </w:rPr>
                  </w:pPr>
                  <w:r>
                    <w:rPr>
                      <w:color w:val="auto"/>
                    </w:rPr>
                    <w:t>雨污分流。厂界外雨水收集导排至周边雨水沟；厂界内初期雨水经初期雨水收集池沉淀后用于生产降尘；食堂污水经隔油池处理后与其他生活污水一并经化粪池沉淀后委托周边农户清掏用做施肥，不外排</w:t>
                  </w:r>
                </w:p>
              </w:tc>
              <w:tc>
                <w:tcPr>
                  <w:tcW w:w="897" w:type="dxa"/>
                  <w:vAlign w:val="center"/>
                </w:tcPr>
                <w:p>
                  <w:pPr>
                    <w:pStyle w:val="75"/>
                    <w:spacing w:before="24" w:after="24"/>
                    <w:rPr>
                      <w:color w:val="auto"/>
                    </w:rPr>
                  </w:pPr>
                  <w:r>
                    <w:rPr>
                      <w:color w:val="auto"/>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55" w:type="dxa"/>
                  <w:vMerge w:val="restart"/>
                  <w:vAlign w:val="center"/>
                </w:tcPr>
                <w:p>
                  <w:pPr>
                    <w:pStyle w:val="75"/>
                    <w:spacing w:before="24" w:after="24"/>
                    <w:rPr>
                      <w:color w:val="auto"/>
                    </w:rPr>
                  </w:pPr>
                  <w:r>
                    <w:rPr>
                      <w:color w:val="auto"/>
                    </w:rPr>
                    <w:t>环保工程</w:t>
                  </w:r>
                </w:p>
              </w:tc>
              <w:tc>
                <w:tcPr>
                  <w:tcW w:w="683" w:type="dxa"/>
                  <w:vAlign w:val="center"/>
                </w:tcPr>
                <w:p>
                  <w:pPr>
                    <w:pStyle w:val="75"/>
                    <w:spacing w:before="24" w:after="24"/>
                    <w:rPr>
                      <w:color w:val="auto"/>
                    </w:rPr>
                  </w:pPr>
                  <w:r>
                    <w:rPr>
                      <w:color w:val="auto"/>
                    </w:rPr>
                    <w:t>截洪沟</w:t>
                  </w:r>
                </w:p>
              </w:tc>
              <w:tc>
                <w:tcPr>
                  <w:tcW w:w="5769" w:type="dxa"/>
                  <w:vAlign w:val="center"/>
                </w:tcPr>
                <w:p>
                  <w:pPr>
                    <w:pStyle w:val="75"/>
                    <w:spacing w:before="24" w:after="24"/>
                    <w:rPr>
                      <w:color w:val="auto"/>
                    </w:rPr>
                  </w:pPr>
                  <w:r>
                    <w:rPr>
                      <w:color w:val="auto"/>
                    </w:rPr>
                    <w:t>厂区周边设置950m截洪沟，防止界外雨水进入厂区</w:t>
                  </w:r>
                </w:p>
              </w:tc>
              <w:tc>
                <w:tcPr>
                  <w:tcW w:w="897" w:type="dxa"/>
                  <w:vAlign w:val="center"/>
                </w:tcPr>
                <w:p>
                  <w:pPr>
                    <w:pStyle w:val="75"/>
                    <w:spacing w:before="24" w:after="24"/>
                    <w:rPr>
                      <w:color w:val="auto"/>
                    </w:rPr>
                  </w:pPr>
                  <w:r>
                    <w:rPr>
                      <w:color w:val="auto"/>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55" w:type="dxa"/>
                  <w:vMerge w:val="continue"/>
                  <w:vAlign w:val="center"/>
                </w:tcPr>
                <w:p>
                  <w:pPr>
                    <w:pStyle w:val="75"/>
                    <w:spacing w:before="24" w:after="24"/>
                    <w:rPr>
                      <w:color w:val="auto"/>
                    </w:rPr>
                  </w:pPr>
                </w:p>
              </w:tc>
              <w:tc>
                <w:tcPr>
                  <w:tcW w:w="683" w:type="dxa"/>
                  <w:vAlign w:val="center"/>
                </w:tcPr>
                <w:p>
                  <w:pPr>
                    <w:pStyle w:val="75"/>
                    <w:spacing w:before="24" w:after="24"/>
                    <w:rPr>
                      <w:color w:val="auto"/>
                    </w:rPr>
                  </w:pPr>
                  <w:r>
                    <w:rPr>
                      <w:color w:val="auto"/>
                    </w:rPr>
                    <w:t>沉淀池</w:t>
                  </w:r>
                </w:p>
              </w:tc>
              <w:tc>
                <w:tcPr>
                  <w:tcW w:w="5769" w:type="dxa"/>
                  <w:vAlign w:val="center"/>
                </w:tcPr>
                <w:p>
                  <w:pPr>
                    <w:pStyle w:val="75"/>
                    <w:spacing w:before="24" w:after="24"/>
                    <w:rPr>
                      <w:color w:val="auto"/>
                    </w:rPr>
                  </w:pPr>
                  <w:r>
                    <w:rPr>
                      <w:color w:val="auto"/>
                    </w:rPr>
                    <w:t>厂区东南角设置1个初期雨水收集池（100m</w:t>
                  </w:r>
                  <w:r>
                    <w:rPr>
                      <w:color w:val="auto"/>
                      <w:vertAlign w:val="superscript"/>
                    </w:rPr>
                    <w:t>3</w:t>
                  </w:r>
                  <w:r>
                    <w:rPr>
                      <w:color w:val="auto"/>
                    </w:rPr>
                    <w:t>），用于处理初期雨水</w:t>
                  </w:r>
                </w:p>
              </w:tc>
              <w:tc>
                <w:tcPr>
                  <w:tcW w:w="897" w:type="dxa"/>
                  <w:vAlign w:val="center"/>
                </w:tcPr>
                <w:p>
                  <w:pPr>
                    <w:pStyle w:val="75"/>
                    <w:spacing w:before="24" w:after="24"/>
                    <w:rPr>
                      <w:color w:val="auto"/>
                    </w:rPr>
                  </w:pPr>
                  <w:r>
                    <w:rPr>
                      <w:color w:val="auto"/>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55" w:type="dxa"/>
                  <w:vMerge w:val="continue"/>
                  <w:vAlign w:val="center"/>
                </w:tcPr>
                <w:p>
                  <w:pPr>
                    <w:pStyle w:val="75"/>
                    <w:spacing w:before="24" w:after="24"/>
                    <w:rPr>
                      <w:color w:val="auto"/>
                    </w:rPr>
                  </w:pPr>
                </w:p>
              </w:tc>
              <w:tc>
                <w:tcPr>
                  <w:tcW w:w="683" w:type="dxa"/>
                  <w:vAlign w:val="center"/>
                </w:tcPr>
                <w:p>
                  <w:pPr>
                    <w:pStyle w:val="75"/>
                    <w:spacing w:before="24" w:after="24"/>
                    <w:rPr>
                      <w:color w:val="auto"/>
                    </w:rPr>
                  </w:pPr>
                  <w:r>
                    <w:rPr>
                      <w:color w:val="auto"/>
                    </w:rPr>
                    <w:t>废水治理</w:t>
                  </w:r>
                </w:p>
              </w:tc>
              <w:tc>
                <w:tcPr>
                  <w:tcW w:w="5769" w:type="dxa"/>
                  <w:vAlign w:val="center"/>
                </w:tcPr>
                <w:p>
                  <w:pPr>
                    <w:pStyle w:val="75"/>
                    <w:spacing w:before="24" w:after="24"/>
                    <w:rPr>
                      <w:color w:val="auto"/>
                    </w:rPr>
                  </w:pPr>
                  <w:r>
                    <w:rPr>
                      <w:color w:val="auto"/>
                    </w:rPr>
                    <w:t>生活污水：厂区西侧设置化粪池（15m</w:t>
                  </w:r>
                  <w:r>
                    <w:rPr>
                      <w:color w:val="auto"/>
                      <w:vertAlign w:val="superscript"/>
                    </w:rPr>
                    <w:t>3</w:t>
                  </w:r>
                  <w:r>
                    <w:rPr>
                      <w:color w:val="auto"/>
                    </w:rPr>
                    <w:t>）及厨房隔油池（1m</w:t>
                  </w:r>
                  <w:r>
                    <w:rPr>
                      <w:color w:val="auto"/>
                      <w:vertAlign w:val="superscript"/>
                    </w:rPr>
                    <w:t>3</w:t>
                  </w:r>
                  <w:r>
                    <w:rPr>
                      <w:color w:val="auto"/>
                    </w:rPr>
                    <w:t>）</w:t>
                  </w:r>
                </w:p>
              </w:tc>
              <w:tc>
                <w:tcPr>
                  <w:tcW w:w="897" w:type="dxa"/>
                  <w:vAlign w:val="center"/>
                </w:tcPr>
                <w:p>
                  <w:pPr>
                    <w:pStyle w:val="75"/>
                    <w:spacing w:before="24" w:after="24"/>
                    <w:rPr>
                      <w:color w:val="auto"/>
                    </w:rPr>
                  </w:pPr>
                  <w:r>
                    <w:rPr>
                      <w:color w:val="auto"/>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55" w:type="dxa"/>
                  <w:vMerge w:val="continue"/>
                  <w:vAlign w:val="center"/>
                </w:tcPr>
                <w:p>
                  <w:pPr>
                    <w:pStyle w:val="75"/>
                    <w:spacing w:before="24" w:after="24"/>
                    <w:rPr>
                      <w:color w:val="auto"/>
                    </w:rPr>
                  </w:pPr>
                </w:p>
              </w:tc>
              <w:tc>
                <w:tcPr>
                  <w:tcW w:w="683" w:type="dxa"/>
                  <w:vAlign w:val="center"/>
                </w:tcPr>
                <w:p>
                  <w:pPr>
                    <w:pStyle w:val="75"/>
                    <w:spacing w:before="24" w:after="24"/>
                    <w:rPr>
                      <w:color w:val="auto"/>
                    </w:rPr>
                  </w:pPr>
                  <w:r>
                    <w:rPr>
                      <w:color w:val="auto"/>
                    </w:rPr>
                    <w:t>废气治理</w:t>
                  </w:r>
                </w:p>
              </w:tc>
              <w:tc>
                <w:tcPr>
                  <w:tcW w:w="5769" w:type="dxa"/>
                  <w:vAlign w:val="center"/>
                </w:tcPr>
                <w:p>
                  <w:pPr>
                    <w:pStyle w:val="75"/>
                    <w:spacing w:before="24" w:after="24"/>
                    <w:rPr>
                      <w:color w:val="auto"/>
                    </w:rPr>
                  </w:pPr>
                  <w:r>
                    <w:rPr>
                      <w:color w:val="auto"/>
                    </w:rPr>
                    <w:t>加工粉尘通过在破碎、筛分等工序设置喷雾降尘+车间密闭+湿式加工等措施处理。产品、原料堆场通过设置喷雾进行抑尘。且原料堆场、成品堆场为全封闭，厂区地面应硬化。</w:t>
                  </w:r>
                </w:p>
              </w:tc>
              <w:tc>
                <w:tcPr>
                  <w:tcW w:w="897" w:type="dxa"/>
                  <w:vAlign w:val="center"/>
                </w:tcPr>
                <w:p>
                  <w:pPr>
                    <w:pStyle w:val="75"/>
                    <w:spacing w:before="24" w:after="24"/>
                    <w:rPr>
                      <w:color w:val="auto"/>
                    </w:rPr>
                  </w:pPr>
                  <w:r>
                    <w:rPr>
                      <w:color w:val="auto"/>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55" w:type="dxa"/>
                  <w:vMerge w:val="continue"/>
                  <w:vAlign w:val="center"/>
                </w:tcPr>
                <w:p>
                  <w:pPr>
                    <w:pStyle w:val="75"/>
                    <w:spacing w:before="24" w:after="24"/>
                    <w:rPr>
                      <w:color w:val="auto"/>
                    </w:rPr>
                  </w:pPr>
                </w:p>
              </w:tc>
              <w:tc>
                <w:tcPr>
                  <w:tcW w:w="683" w:type="dxa"/>
                  <w:vAlign w:val="center"/>
                </w:tcPr>
                <w:p>
                  <w:pPr>
                    <w:pStyle w:val="75"/>
                    <w:spacing w:before="24" w:after="24"/>
                    <w:rPr>
                      <w:color w:val="auto"/>
                    </w:rPr>
                  </w:pPr>
                  <w:r>
                    <w:rPr>
                      <w:color w:val="auto"/>
                    </w:rPr>
                    <w:t>噪声</w:t>
                  </w:r>
                </w:p>
              </w:tc>
              <w:tc>
                <w:tcPr>
                  <w:tcW w:w="5769" w:type="dxa"/>
                  <w:vAlign w:val="center"/>
                </w:tcPr>
                <w:p>
                  <w:pPr>
                    <w:pStyle w:val="75"/>
                    <w:spacing w:before="24" w:after="24"/>
                    <w:rPr>
                      <w:color w:val="auto"/>
                    </w:rPr>
                  </w:pPr>
                  <w:r>
                    <w:rPr>
                      <w:color w:val="auto"/>
                    </w:rPr>
                    <w:t>加工区是全封闭的，采取设备减震、墙体隔音等降噪措施。</w:t>
                  </w:r>
                </w:p>
              </w:tc>
              <w:tc>
                <w:tcPr>
                  <w:tcW w:w="897" w:type="dxa"/>
                  <w:vAlign w:val="center"/>
                </w:tcPr>
                <w:p>
                  <w:pPr>
                    <w:pStyle w:val="75"/>
                    <w:spacing w:before="24" w:after="24"/>
                    <w:rPr>
                      <w:color w:val="auto"/>
                    </w:rPr>
                  </w:pPr>
                  <w:r>
                    <w:rPr>
                      <w:color w:val="auto"/>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55" w:type="dxa"/>
                  <w:vMerge w:val="continue"/>
                  <w:vAlign w:val="center"/>
                </w:tcPr>
                <w:p>
                  <w:pPr>
                    <w:pStyle w:val="75"/>
                    <w:spacing w:before="24" w:after="24"/>
                    <w:rPr>
                      <w:color w:val="auto"/>
                    </w:rPr>
                  </w:pPr>
                </w:p>
              </w:tc>
              <w:tc>
                <w:tcPr>
                  <w:tcW w:w="683" w:type="dxa"/>
                  <w:vMerge w:val="restart"/>
                  <w:vAlign w:val="center"/>
                </w:tcPr>
                <w:p>
                  <w:pPr>
                    <w:pStyle w:val="75"/>
                    <w:spacing w:before="24" w:after="24"/>
                    <w:rPr>
                      <w:color w:val="auto"/>
                    </w:rPr>
                  </w:pPr>
                  <w:r>
                    <w:rPr>
                      <w:color w:val="auto"/>
                    </w:rPr>
                    <w:t>固废</w:t>
                  </w:r>
                </w:p>
              </w:tc>
              <w:tc>
                <w:tcPr>
                  <w:tcW w:w="5769" w:type="dxa"/>
                  <w:vAlign w:val="center"/>
                </w:tcPr>
                <w:p>
                  <w:pPr>
                    <w:pStyle w:val="75"/>
                    <w:spacing w:before="24" w:after="24"/>
                    <w:rPr>
                      <w:color w:val="auto"/>
                    </w:rPr>
                  </w:pPr>
                  <w:r>
                    <w:rPr>
                      <w:color w:val="auto"/>
                    </w:rPr>
                    <w:t>生活垃圾：垃圾桶并及时清理</w:t>
                  </w:r>
                </w:p>
              </w:tc>
              <w:tc>
                <w:tcPr>
                  <w:tcW w:w="897" w:type="dxa"/>
                  <w:vAlign w:val="center"/>
                </w:tcPr>
                <w:p>
                  <w:pPr>
                    <w:pStyle w:val="75"/>
                    <w:spacing w:before="24" w:after="24"/>
                    <w:rPr>
                      <w:color w:val="auto"/>
                    </w:rPr>
                  </w:pPr>
                  <w:r>
                    <w:rPr>
                      <w:color w:val="auto"/>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55" w:type="dxa"/>
                  <w:vMerge w:val="continue"/>
                  <w:vAlign w:val="center"/>
                </w:tcPr>
                <w:p>
                  <w:pPr>
                    <w:pStyle w:val="75"/>
                    <w:spacing w:before="24" w:after="24"/>
                    <w:rPr>
                      <w:color w:val="auto"/>
                    </w:rPr>
                  </w:pPr>
                </w:p>
              </w:tc>
              <w:tc>
                <w:tcPr>
                  <w:tcW w:w="683" w:type="dxa"/>
                  <w:vMerge w:val="continue"/>
                  <w:vAlign w:val="center"/>
                </w:tcPr>
                <w:p>
                  <w:pPr>
                    <w:pStyle w:val="75"/>
                    <w:spacing w:before="24" w:after="24"/>
                    <w:rPr>
                      <w:color w:val="auto"/>
                    </w:rPr>
                  </w:pPr>
                </w:p>
              </w:tc>
              <w:tc>
                <w:tcPr>
                  <w:tcW w:w="5769" w:type="dxa"/>
                  <w:vAlign w:val="center"/>
                </w:tcPr>
                <w:p>
                  <w:pPr>
                    <w:pStyle w:val="75"/>
                    <w:spacing w:before="24" w:after="24"/>
                    <w:rPr>
                      <w:color w:val="auto"/>
                    </w:rPr>
                  </w:pPr>
                  <w:r>
                    <w:rPr>
                      <w:color w:val="auto"/>
                    </w:rPr>
                    <w:t>初期雨水收集池污泥：外运做建筑材料。</w:t>
                  </w:r>
                </w:p>
              </w:tc>
              <w:tc>
                <w:tcPr>
                  <w:tcW w:w="897" w:type="dxa"/>
                  <w:vAlign w:val="center"/>
                </w:tcPr>
                <w:p>
                  <w:pPr>
                    <w:pStyle w:val="75"/>
                    <w:spacing w:before="24" w:after="24"/>
                    <w:rPr>
                      <w:color w:val="auto"/>
                    </w:rPr>
                  </w:pPr>
                  <w:r>
                    <w:rPr>
                      <w:color w:val="auto"/>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55" w:type="dxa"/>
                  <w:vMerge w:val="continue"/>
                  <w:vAlign w:val="center"/>
                </w:tcPr>
                <w:p>
                  <w:pPr>
                    <w:pStyle w:val="75"/>
                    <w:spacing w:before="24" w:after="24"/>
                    <w:rPr>
                      <w:color w:val="auto"/>
                    </w:rPr>
                  </w:pPr>
                </w:p>
              </w:tc>
              <w:tc>
                <w:tcPr>
                  <w:tcW w:w="683" w:type="dxa"/>
                  <w:vMerge w:val="continue"/>
                  <w:vAlign w:val="center"/>
                </w:tcPr>
                <w:p>
                  <w:pPr>
                    <w:pStyle w:val="75"/>
                    <w:spacing w:before="24" w:after="24"/>
                    <w:rPr>
                      <w:color w:val="auto"/>
                    </w:rPr>
                  </w:pPr>
                </w:p>
              </w:tc>
              <w:tc>
                <w:tcPr>
                  <w:tcW w:w="5769" w:type="dxa"/>
                  <w:vAlign w:val="center"/>
                </w:tcPr>
                <w:p>
                  <w:pPr>
                    <w:pStyle w:val="75"/>
                    <w:spacing w:before="24" w:after="24"/>
                    <w:rPr>
                      <w:color w:val="auto"/>
                    </w:rPr>
                  </w:pPr>
                  <w:r>
                    <w:rPr>
                      <w:color w:val="auto"/>
                    </w:rPr>
                    <w:t>危废暂存：于加工区西侧设置危废暂存间1间（建筑面积5m</w:t>
                  </w:r>
                  <w:r>
                    <w:rPr>
                      <w:color w:val="auto"/>
                      <w:vertAlign w:val="superscript"/>
                    </w:rPr>
                    <w:t>2</w:t>
                  </w:r>
                  <w:r>
                    <w:rPr>
                      <w:color w:val="auto"/>
                    </w:rPr>
                    <w:t>），地面增加防渗层，四周墙角增加围堰，危废暂存间内设置两只危废收集桶，设置托盘。</w:t>
                  </w:r>
                </w:p>
              </w:tc>
              <w:tc>
                <w:tcPr>
                  <w:tcW w:w="897" w:type="dxa"/>
                  <w:vAlign w:val="center"/>
                </w:tcPr>
                <w:p>
                  <w:pPr>
                    <w:pStyle w:val="75"/>
                    <w:spacing w:before="24" w:after="24"/>
                    <w:rPr>
                      <w:color w:val="auto"/>
                    </w:rPr>
                  </w:pPr>
                  <w:r>
                    <w:rPr>
                      <w:color w:val="auto"/>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55" w:type="dxa"/>
                  <w:vMerge w:val="continue"/>
                  <w:vAlign w:val="center"/>
                </w:tcPr>
                <w:p>
                  <w:pPr>
                    <w:pStyle w:val="75"/>
                    <w:spacing w:before="24" w:after="24"/>
                    <w:rPr>
                      <w:color w:val="auto"/>
                    </w:rPr>
                  </w:pPr>
                </w:p>
              </w:tc>
              <w:tc>
                <w:tcPr>
                  <w:tcW w:w="683" w:type="dxa"/>
                  <w:vAlign w:val="center"/>
                </w:tcPr>
                <w:p>
                  <w:pPr>
                    <w:pStyle w:val="75"/>
                    <w:spacing w:before="24" w:after="24"/>
                    <w:rPr>
                      <w:color w:val="auto"/>
                    </w:rPr>
                  </w:pPr>
                  <w:r>
                    <w:rPr>
                      <w:color w:val="auto"/>
                    </w:rPr>
                    <w:t>绿化</w:t>
                  </w:r>
                </w:p>
              </w:tc>
              <w:tc>
                <w:tcPr>
                  <w:tcW w:w="5769" w:type="dxa"/>
                  <w:vAlign w:val="center"/>
                </w:tcPr>
                <w:p>
                  <w:pPr>
                    <w:pStyle w:val="75"/>
                    <w:spacing w:before="24" w:after="24"/>
                    <w:rPr>
                      <w:color w:val="auto"/>
                    </w:rPr>
                  </w:pPr>
                  <w:r>
                    <w:rPr>
                      <w:color w:val="auto"/>
                    </w:rPr>
                    <w:t>设置有500m</w:t>
                  </w:r>
                  <w:r>
                    <w:rPr>
                      <w:color w:val="auto"/>
                      <w:vertAlign w:val="superscript"/>
                    </w:rPr>
                    <w:t>2</w:t>
                  </w:r>
                  <w:r>
                    <w:rPr>
                      <w:color w:val="auto"/>
                    </w:rPr>
                    <w:t>绿化</w:t>
                  </w:r>
                </w:p>
              </w:tc>
              <w:tc>
                <w:tcPr>
                  <w:tcW w:w="897" w:type="dxa"/>
                  <w:vAlign w:val="center"/>
                </w:tcPr>
                <w:p>
                  <w:pPr>
                    <w:pStyle w:val="75"/>
                    <w:spacing w:before="24" w:after="24"/>
                    <w:rPr>
                      <w:color w:val="auto"/>
                    </w:rPr>
                  </w:pPr>
                  <w:r>
                    <w:rPr>
                      <w:color w:val="auto"/>
                    </w:rPr>
                    <w:t>依托及新增</w:t>
                  </w:r>
                </w:p>
              </w:tc>
            </w:tr>
          </w:tbl>
          <w:p>
            <w:pPr>
              <w:spacing w:line="360" w:lineRule="auto"/>
              <w:ind w:firstLine="482" w:firstLineChars="200"/>
              <w:jc w:val="left"/>
              <w:rPr>
                <w:b/>
                <w:bCs/>
                <w:color w:val="auto"/>
                <w:sz w:val="24"/>
              </w:rPr>
            </w:pPr>
            <w:r>
              <w:rPr>
                <w:b/>
                <w:bCs/>
                <w:color w:val="auto"/>
                <w:sz w:val="24"/>
              </w:rPr>
              <w:t>3、产品方案及生产规模</w:t>
            </w:r>
          </w:p>
          <w:p>
            <w:pPr>
              <w:pStyle w:val="80"/>
              <w:rPr>
                <w:color w:val="auto"/>
              </w:rPr>
            </w:pPr>
            <w:r>
              <w:rPr>
                <w:color w:val="auto"/>
              </w:rPr>
              <w:t>生产规模：本项目是通过利用兰坪等区域非金属矿山产生的边角料、产品，建设一条年产10万吨碎石和机制砂生产线，见表2-2。环评要求：项目原料应采购于有合法手续的矿山，原料中禁止添加危险废物。</w:t>
            </w:r>
          </w:p>
          <w:p>
            <w:pPr>
              <w:pStyle w:val="71"/>
              <w:rPr>
                <w:rFonts w:cs="Times New Roman"/>
                <w:color w:val="auto"/>
              </w:rPr>
            </w:pPr>
            <w:r>
              <w:rPr>
                <w:rFonts w:cs="Times New Roman"/>
                <w:color w:val="auto"/>
              </w:rPr>
              <w:t>表2-2    项目产品规模</w:t>
            </w:r>
          </w:p>
          <w:tbl>
            <w:tblPr>
              <w:tblStyle w:val="25"/>
              <w:tblW w:w="85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1"/>
              <w:gridCol w:w="1971"/>
              <w:gridCol w:w="2121"/>
              <w:gridCol w:w="2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481"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序号</w:t>
                  </w:r>
                </w:p>
              </w:tc>
              <w:tc>
                <w:tcPr>
                  <w:tcW w:w="1971"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名称</w:t>
                  </w:r>
                </w:p>
              </w:tc>
              <w:tc>
                <w:tcPr>
                  <w:tcW w:w="2121"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规格</w:t>
                  </w:r>
                </w:p>
              </w:tc>
              <w:tc>
                <w:tcPr>
                  <w:tcW w:w="2950"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年加工规模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481"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1</w:t>
                  </w:r>
                </w:p>
              </w:tc>
              <w:tc>
                <w:tcPr>
                  <w:tcW w:w="1971"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碎石</w:t>
                  </w:r>
                </w:p>
              </w:tc>
              <w:tc>
                <w:tcPr>
                  <w:tcW w:w="2121"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1-2.5cm</w:t>
                  </w:r>
                </w:p>
              </w:tc>
              <w:tc>
                <w:tcPr>
                  <w:tcW w:w="2950" w:type="dxa"/>
                  <w:vMerge w:val="restart"/>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10万吨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481"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2</w:t>
                  </w:r>
                </w:p>
              </w:tc>
              <w:tc>
                <w:tcPr>
                  <w:tcW w:w="1971"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碎石</w:t>
                  </w:r>
                </w:p>
              </w:tc>
              <w:tc>
                <w:tcPr>
                  <w:tcW w:w="2121"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0.5~1cm</w:t>
                  </w:r>
                </w:p>
              </w:tc>
              <w:tc>
                <w:tcPr>
                  <w:tcW w:w="2950" w:type="dxa"/>
                  <w:vMerge w:val="continue"/>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481"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3</w:t>
                  </w:r>
                </w:p>
              </w:tc>
              <w:tc>
                <w:tcPr>
                  <w:tcW w:w="1971"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碎石</w:t>
                  </w:r>
                </w:p>
              </w:tc>
              <w:tc>
                <w:tcPr>
                  <w:tcW w:w="2121"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0.3~0.5cm</w:t>
                  </w:r>
                </w:p>
              </w:tc>
              <w:tc>
                <w:tcPr>
                  <w:tcW w:w="2950" w:type="dxa"/>
                  <w:vMerge w:val="continue"/>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481"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4</w:t>
                  </w:r>
                </w:p>
              </w:tc>
              <w:tc>
                <w:tcPr>
                  <w:tcW w:w="1971"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机制砂</w:t>
                  </w:r>
                </w:p>
              </w:tc>
              <w:tc>
                <w:tcPr>
                  <w:tcW w:w="2121"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0-6mm</w:t>
                  </w:r>
                </w:p>
              </w:tc>
              <w:tc>
                <w:tcPr>
                  <w:tcW w:w="2950" w:type="dxa"/>
                  <w:vMerge w:val="continue"/>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szCs w:val="24"/>
                    </w:rPr>
                  </w:pPr>
                </w:p>
              </w:tc>
            </w:tr>
          </w:tbl>
          <w:p>
            <w:pPr>
              <w:spacing w:line="360" w:lineRule="auto"/>
              <w:ind w:firstLine="482" w:firstLineChars="200"/>
              <w:jc w:val="left"/>
              <w:rPr>
                <w:b/>
                <w:bCs/>
                <w:color w:val="auto"/>
                <w:sz w:val="24"/>
              </w:rPr>
            </w:pPr>
            <w:r>
              <w:rPr>
                <w:b/>
                <w:bCs/>
                <w:color w:val="auto"/>
                <w:sz w:val="24"/>
              </w:rPr>
              <w:t>4、设备清单</w:t>
            </w:r>
          </w:p>
          <w:p>
            <w:pPr>
              <w:pStyle w:val="80"/>
              <w:rPr>
                <w:color w:val="auto"/>
              </w:rPr>
            </w:pPr>
            <w:r>
              <w:rPr>
                <w:color w:val="auto"/>
              </w:rPr>
              <w:t>项目主要设备情况见表2-3。</w:t>
            </w:r>
          </w:p>
          <w:p>
            <w:pPr>
              <w:pStyle w:val="71"/>
              <w:rPr>
                <w:rFonts w:cs="Times New Roman"/>
                <w:color w:val="auto"/>
              </w:rPr>
            </w:pPr>
            <w:r>
              <w:rPr>
                <w:rFonts w:cs="Times New Roman"/>
                <w:color w:val="auto"/>
              </w:rPr>
              <w:t>表2-3    项目主要生产设备一览表</w:t>
            </w:r>
          </w:p>
          <w:tbl>
            <w:tblPr>
              <w:tblStyle w:val="25"/>
              <w:tblW w:w="85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2"/>
              <w:gridCol w:w="1567"/>
              <w:gridCol w:w="1330"/>
              <w:gridCol w:w="1278"/>
              <w:gridCol w:w="1430"/>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322"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序号</w:t>
                  </w:r>
                </w:p>
              </w:tc>
              <w:tc>
                <w:tcPr>
                  <w:tcW w:w="1567"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设备名称</w:t>
                  </w:r>
                </w:p>
              </w:tc>
              <w:tc>
                <w:tcPr>
                  <w:tcW w:w="1330"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数量</w:t>
                  </w:r>
                </w:p>
              </w:tc>
              <w:tc>
                <w:tcPr>
                  <w:tcW w:w="1278"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单位</w:t>
                  </w:r>
                </w:p>
              </w:tc>
              <w:tc>
                <w:tcPr>
                  <w:tcW w:w="1430"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来源</w:t>
                  </w:r>
                </w:p>
              </w:tc>
              <w:tc>
                <w:tcPr>
                  <w:tcW w:w="1596"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322"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1</w:t>
                  </w:r>
                </w:p>
              </w:tc>
              <w:tc>
                <w:tcPr>
                  <w:tcW w:w="1567"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装载机</w:t>
                  </w:r>
                </w:p>
              </w:tc>
              <w:tc>
                <w:tcPr>
                  <w:tcW w:w="1330"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1</w:t>
                  </w:r>
                </w:p>
              </w:tc>
              <w:tc>
                <w:tcPr>
                  <w:tcW w:w="1278"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台</w:t>
                  </w:r>
                </w:p>
              </w:tc>
              <w:tc>
                <w:tcPr>
                  <w:tcW w:w="1430"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外购</w:t>
                  </w:r>
                </w:p>
              </w:tc>
              <w:tc>
                <w:tcPr>
                  <w:tcW w:w="1596"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322"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2</w:t>
                  </w:r>
                </w:p>
              </w:tc>
              <w:tc>
                <w:tcPr>
                  <w:tcW w:w="1567"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破碎机</w:t>
                  </w:r>
                </w:p>
              </w:tc>
              <w:tc>
                <w:tcPr>
                  <w:tcW w:w="1330"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1</w:t>
                  </w:r>
                </w:p>
              </w:tc>
              <w:tc>
                <w:tcPr>
                  <w:tcW w:w="1278"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台</w:t>
                  </w:r>
                </w:p>
              </w:tc>
              <w:tc>
                <w:tcPr>
                  <w:tcW w:w="1430"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外购</w:t>
                  </w:r>
                </w:p>
              </w:tc>
              <w:tc>
                <w:tcPr>
                  <w:tcW w:w="1596"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322"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3</w:t>
                  </w:r>
                </w:p>
              </w:tc>
              <w:tc>
                <w:tcPr>
                  <w:tcW w:w="1567"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打砂机</w:t>
                  </w:r>
                </w:p>
              </w:tc>
              <w:tc>
                <w:tcPr>
                  <w:tcW w:w="1330"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1</w:t>
                  </w:r>
                </w:p>
              </w:tc>
              <w:tc>
                <w:tcPr>
                  <w:tcW w:w="1278"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台</w:t>
                  </w:r>
                </w:p>
              </w:tc>
              <w:tc>
                <w:tcPr>
                  <w:tcW w:w="1430"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外购</w:t>
                  </w:r>
                </w:p>
              </w:tc>
              <w:tc>
                <w:tcPr>
                  <w:tcW w:w="1596"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322"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4</w:t>
                  </w:r>
                </w:p>
              </w:tc>
              <w:tc>
                <w:tcPr>
                  <w:tcW w:w="1567"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振动筛</w:t>
                  </w:r>
                </w:p>
              </w:tc>
              <w:tc>
                <w:tcPr>
                  <w:tcW w:w="1330"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1</w:t>
                  </w:r>
                </w:p>
              </w:tc>
              <w:tc>
                <w:tcPr>
                  <w:tcW w:w="1278"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台</w:t>
                  </w:r>
                </w:p>
              </w:tc>
              <w:tc>
                <w:tcPr>
                  <w:tcW w:w="1430"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外购</w:t>
                  </w:r>
                </w:p>
              </w:tc>
              <w:tc>
                <w:tcPr>
                  <w:tcW w:w="1596"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322"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5</w:t>
                  </w:r>
                </w:p>
              </w:tc>
              <w:tc>
                <w:tcPr>
                  <w:tcW w:w="1567"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输送带</w:t>
                  </w:r>
                </w:p>
              </w:tc>
              <w:tc>
                <w:tcPr>
                  <w:tcW w:w="1330"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3</w:t>
                  </w:r>
                </w:p>
              </w:tc>
              <w:tc>
                <w:tcPr>
                  <w:tcW w:w="1278"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条</w:t>
                  </w:r>
                </w:p>
              </w:tc>
              <w:tc>
                <w:tcPr>
                  <w:tcW w:w="1430"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外购</w:t>
                  </w:r>
                </w:p>
              </w:tc>
              <w:tc>
                <w:tcPr>
                  <w:tcW w:w="1596"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322"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6</w:t>
                  </w:r>
                </w:p>
              </w:tc>
              <w:tc>
                <w:tcPr>
                  <w:tcW w:w="1567"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喷雾头</w:t>
                  </w:r>
                </w:p>
              </w:tc>
              <w:tc>
                <w:tcPr>
                  <w:tcW w:w="1330"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若干</w:t>
                  </w:r>
                </w:p>
              </w:tc>
              <w:tc>
                <w:tcPr>
                  <w:tcW w:w="1278"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套</w:t>
                  </w:r>
                </w:p>
              </w:tc>
              <w:tc>
                <w:tcPr>
                  <w:tcW w:w="1430"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外购</w:t>
                  </w:r>
                </w:p>
              </w:tc>
              <w:tc>
                <w:tcPr>
                  <w:tcW w:w="1596"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接软水管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322"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7</w:t>
                  </w:r>
                </w:p>
              </w:tc>
              <w:tc>
                <w:tcPr>
                  <w:tcW w:w="1567"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移动式喷雾炮</w:t>
                  </w:r>
                </w:p>
              </w:tc>
              <w:tc>
                <w:tcPr>
                  <w:tcW w:w="1330"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2</w:t>
                  </w:r>
                </w:p>
              </w:tc>
              <w:tc>
                <w:tcPr>
                  <w:tcW w:w="1278"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套</w:t>
                  </w:r>
                </w:p>
              </w:tc>
              <w:tc>
                <w:tcPr>
                  <w:tcW w:w="1430"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外购</w:t>
                  </w:r>
                </w:p>
              </w:tc>
              <w:tc>
                <w:tcPr>
                  <w:tcW w:w="1596"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322"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8</w:t>
                  </w:r>
                </w:p>
              </w:tc>
              <w:tc>
                <w:tcPr>
                  <w:tcW w:w="1567"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柴油发电机</w:t>
                  </w:r>
                </w:p>
              </w:tc>
              <w:tc>
                <w:tcPr>
                  <w:tcW w:w="1330"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1</w:t>
                  </w:r>
                </w:p>
              </w:tc>
              <w:tc>
                <w:tcPr>
                  <w:tcW w:w="1278"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台</w:t>
                  </w:r>
                </w:p>
              </w:tc>
              <w:tc>
                <w:tcPr>
                  <w:tcW w:w="1430"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外购</w:t>
                  </w:r>
                </w:p>
              </w:tc>
              <w:tc>
                <w:tcPr>
                  <w:tcW w:w="1596"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备用发电</w:t>
                  </w:r>
                </w:p>
              </w:tc>
            </w:tr>
          </w:tbl>
          <w:p>
            <w:pPr>
              <w:spacing w:line="360" w:lineRule="auto"/>
              <w:ind w:left="482"/>
              <w:jc w:val="left"/>
              <w:rPr>
                <w:b/>
                <w:bCs/>
                <w:color w:val="auto"/>
                <w:sz w:val="24"/>
              </w:rPr>
            </w:pPr>
            <w:r>
              <w:rPr>
                <w:b/>
                <w:bCs/>
                <w:color w:val="auto"/>
                <w:sz w:val="24"/>
              </w:rPr>
              <w:t>5、主要原辅材料</w:t>
            </w:r>
          </w:p>
          <w:p>
            <w:pPr>
              <w:spacing w:line="360" w:lineRule="auto"/>
              <w:ind w:firstLine="480" w:firstLineChars="200"/>
              <w:rPr>
                <w:color w:val="auto"/>
                <w:sz w:val="24"/>
              </w:rPr>
            </w:pPr>
            <w:r>
              <w:rPr>
                <w:color w:val="auto"/>
                <w:sz w:val="24"/>
              </w:rPr>
              <w:t>结合项目设计规模，项目所涉及的主要原辅材料及能耗、水耗情况见下表。</w:t>
            </w:r>
          </w:p>
          <w:p>
            <w:pPr>
              <w:pStyle w:val="71"/>
              <w:rPr>
                <w:rFonts w:cs="Times New Roman"/>
                <w:color w:val="auto"/>
              </w:rPr>
            </w:pPr>
            <w:r>
              <w:rPr>
                <w:rFonts w:cs="Times New Roman"/>
                <w:color w:val="auto"/>
              </w:rPr>
              <w:t>表2-4    运营期主要原辅材料用量一览表</w:t>
            </w:r>
          </w:p>
          <w:tbl>
            <w:tblPr>
              <w:tblStyle w:val="25"/>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1732"/>
              <w:gridCol w:w="1499"/>
              <w:gridCol w:w="2149"/>
              <w:gridCol w:w="1071"/>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gridSpan w:val="2"/>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名称</w:t>
                  </w:r>
                </w:p>
              </w:tc>
              <w:tc>
                <w:tcPr>
                  <w:tcW w:w="1499"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年耗量（单位）</w:t>
                  </w:r>
                </w:p>
              </w:tc>
              <w:tc>
                <w:tcPr>
                  <w:tcW w:w="2149"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主要成分</w:t>
                  </w:r>
                </w:p>
              </w:tc>
              <w:tc>
                <w:tcPr>
                  <w:tcW w:w="1071"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规格</w:t>
                  </w:r>
                </w:p>
              </w:tc>
              <w:tc>
                <w:tcPr>
                  <w:tcW w:w="1176"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6" w:type="dxa"/>
                  <w:vMerge w:val="restart"/>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原辅材料</w:t>
                  </w:r>
                </w:p>
              </w:tc>
              <w:tc>
                <w:tcPr>
                  <w:tcW w:w="1732"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矿山边角余料、产品</w:t>
                  </w:r>
                </w:p>
              </w:tc>
              <w:tc>
                <w:tcPr>
                  <w:tcW w:w="1499"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11万t/a</w:t>
                  </w:r>
                </w:p>
              </w:tc>
              <w:tc>
                <w:tcPr>
                  <w:tcW w:w="2149"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SiO</w:t>
                  </w:r>
                  <w:r>
                    <w:rPr>
                      <w:color w:val="auto"/>
                      <w:vertAlign w:val="subscript"/>
                    </w:rPr>
                    <w:t>2</w:t>
                  </w:r>
                  <w:r>
                    <w:rPr>
                      <w:color w:val="auto"/>
                    </w:rPr>
                    <w:t>、Al</w:t>
                  </w:r>
                  <w:r>
                    <w:rPr>
                      <w:color w:val="auto"/>
                      <w:vertAlign w:val="subscript"/>
                    </w:rPr>
                    <w:t>2</w:t>
                  </w:r>
                  <w:r>
                    <w:rPr>
                      <w:color w:val="auto"/>
                    </w:rPr>
                    <w:t>O</w:t>
                  </w:r>
                  <w:r>
                    <w:rPr>
                      <w:color w:val="auto"/>
                      <w:vertAlign w:val="subscript"/>
                    </w:rPr>
                    <w:t>3</w:t>
                  </w:r>
                  <w:r>
                    <w:rPr>
                      <w:color w:val="auto"/>
                    </w:rPr>
                    <w:t>、CaO、MgO</w:t>
                  </w:r>
                </w:p>
              </w:tc>
              <w:tc>
                <w:tcPr>
                  <w:tcW w:w="1071"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20~80公分及以上</w:t>
                  </w:r>
                </w:p>
              </w:tc>
              <w:tc>
                <w:tcPr>
                  <w:tcW w:w="1176"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兰坪矿山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6" w:type="dxa"/>
                  <w:vMerge w:val="continue"/>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szCs w:val="24"/>
                    </w:rPr>
                  </w:pPr>
                </w:p>
              </w:tc>
              <w:tc>
                <w:tcPr>
                  <w:tcW w:w="1732"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润滑油</w:t>
                  </w:r>
                </w:p>
              </w:tc>
              <w:tc>
                <w:tcPr>
                  <w:tcW w:w="1499"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0.5t/a</w:t>
                  </w:r>
                </w:p>
              </w:tc>
              <w:tc>
                <w:tcPr>
                  <w:tcW w:w="2149"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w:t>
                  </w:r>
                </w:p>
              </w:tc>
              <w:tc>
                <w:tcPr>
                  <w:tcW w:w="1071"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w:t>
                  </w:r>
                </w:p>
              </w:tc>
              <w:tc>
                <w:tcPr>
                  <w:tcW w:w="1176"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6" w:type="dxa"/>
                  <w:vMerge w:val="continue"/>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szCs w:val="24"/>
                    </w:rPr>
                  </w:pPr>
                </w:p>
              </w:tc>
              <w:tc>
                <w:tcPr>
                  <w:tcW w:w="1732"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机油</w:t>
                  </w:r>
                </w:p>
              </w:tc>
              <w:tc>
                <w:tcPr>
                  <w:tcW w:w="1499"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0.2t/a</w:t>
                  </w:r>
                </w:p>
              </w:tc>
              <w:tc>
                <w:tcPr>
                  <w:tcW w:w="2149"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w:t>
                  </w:r>
                </w:p>
              </w:tc>
              <w:tc>
                <w:tcPr>
                  <w:tcW w:w="1071"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w:t>
                  </w:r>
                </w:p>
              </w:tc>
              <w:tc>
                <w:tcPr>
                  <w:tcW w:w="1176"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6" w:type="dxa"/>
                  <w:vMerge w:val="restart"/>
                  <w:tcBorders>
                    <w:top w:val="single" w:color="auto" w:sz="4" w:space="0"/>
                    <w:left w:val="single" w:color="auto" w:sz="4" w:space="0"/>
                    <w:right w:val="single" w:color="auto" w:sz="4" w:space="0"/>
                  </w:tcBorders>
                  <w:vAlign w:val="center"/>
                </w:tcPr>
                <w:p>
                  <w:pPr>
                    <w:pStyle w:val="75"/>
                    <w:spacing w:before="24" w:after="24"/>
                    <w:rPr>
                      <w:color w:val="auto"/>
                    </w:rPr>
                  </w:pPr>
                  <w:r>
                    <w:rPr>
                      <w:color w:val="auto"/>
                    </w:rPr>
                    <w:t>能源</w:t>
                  </w:r>
                </w:p>
              </w:tc>
              <w:tc>
                <w:tcPr>
                  <w:tcW w:w="1732"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生活用水</w:t>
                  </w:r>
                </w:p>
              </w:tc>
              <w:tc>
                <w:tcPr>
                  <w:tcW w:w="1499"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270t/a</w:t>
                  </w:r>
                </w:p>
              </w:tc>
              <w:tc>
                <w:tcPr>
                  <w:tcW w:w="2149"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H</w:t>
                  </w:r>
                  <w:r>
                    <w:rPr>
                      <w:color w:val="auto"/>
                      <w:vertAlign w:val="subscript"/>
                    </w:rPr>
                    <w:t>2</w:t>
                  </w:r>
                  <w:r>
                    <w:rPr>
                      <w:color w:val="auto"/>
                    </w:rPr>
                    <w:t>O</w:t>
                  </w:r>
                </w:p>
              </w:tc>
              <w:tc>
                <w:tcPr>
                  <w:tcW w:w="1071"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w:t>
                  </w:r>
                </w:p>
              </w:tc>
              <w:tc>
                <w:tcPr>
                  <w:tcW w:w="1176"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自来水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6" w:type="dxa"/>
                  <w:vMerge w:val="continue"/>
                  <w:tcBorders>
                    <w:left w:val="single" w:color="auto" w:sz="4" w:space="0"/>
                    <w:right w:val="single" w:color="auto" w:sz="4" w:space="0"/>
                  </w:tcBorders>
                  <w:vAlign w:val="center"/>
                </w:tcPr>
                <w:p>
                  <w:pPr>
                    <w:pStyle w:val="75"/>
                    <w:spacing w:before="24" w:after="24"/>
                    <w:rPr>
                      <w:color w:val="auto"/>
                      <w:szCs w:val="24"/>
                    </w:rPr>
                  </w:pPr>
                </w:p>
              </w:tc>
              <w:tc>
                <w:tcPr>
                  <w:tcW w:w="1732"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生产用水</w:t>
                  </w:r>
                </w:p>
              </w:tc>
              <w:tc>
                <w:tcPr>
                  <w:tcW w:w="1499"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13000t/a</w:t>
                  </w:r>
                </w:p>
              </w:tc>
              <w:tc>
                <w:tcPr>
                  <w:tcW w:w="2149"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H</w:t>
                  </w:r>
                  <w:r>
                    <w:rPr>
                      <w:color w:val="auto"/>
                      <w:vertAlign w:val="subscript"/>
                    </w:rPr>
                    <w:t>2</w:t>
                  </w:r>
                  <w:r>
                    <w:rPr>
                      <w:color w:val="auto"/>
                    </w:rPr>
                    <w:t>O</w:t>
                  </w:r>
                </w:p>
              </w:tc>
              <w:tc>
                <w:tcPr>
                  <w:tcW w:w="1071"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w:t>
                  </w:r>
                </w:p>
              </w:tc>
              <w:tc>
                <w:tcPr>
                  <w:tcW w:w="1176"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自来水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6" w:type="dxa"/>
                  <w:vMerge w:val="continue"/>
                  <w:tcBorders>
                    <w:left w:val="single" w:color="auto" w:sz="4" w:space="0"/>
                    <w:right w:val="single" w:color="auto" w:sz="4" w:space="0"/>
                  </w:tcBorders>
                  <w:vAlign w:val="center"/>
                </w:tcPr>
                <w:p>
                  <w:pPr>
                    <w:pStyle w:val="75"/>
                    <w:spacing w:before="24" w:after="24"/>
                    <w:rPr>
                      <w:color w:val="auto"/>
                      <w:szCs w:val="24"/>
                    </w:rPr>
                  </w:pPr>
                </w:p>
              </w:tc>
              <w:tc>
                <w:tcPr>
                  <w:tcW w:w="1732"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电</w:t>
                  </w:r>
                </w:p>
              </w:tc>
              <w:tc>
                <w:tcPr>
                  <w:tcW w:w="1499"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12万度</w:t>
                  </w:r>
                </w:p>
              </w:tc>
              <w:tc>
                <w:tcPr>
                  <w:tcW w:w="2149"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w:t>
                  </w:r>
                </w:p>
              </w:tc>
              <w:tc>
                <w:tcPr>
                  <w:tcW w:w="1071"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w:t>
                  </w:r>
                </w:p>
              </w:tc>
              <w:tc>
                <w:tcPr>
                  <w:tcW w:w="1176"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市政供应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6" w:type="dxa"/>
                  <w:vMerge w:val="continue"/>
                  <w:tcBorders>
                    <w:left w:val="single" w:color="auto" w:sz="4" w:space="0"/>
                    <w:bottom w:val="single" w:color="auto" w:sz="4" w:space="0"/>
                    <w:right w:val="single" w:color="auto" w:sz="4" w:space="0"/>
                  </w:tcBorders>
                  <w:vAlign w:val="center"/>
                </w:tcPr>
                <w:p>
                  <w:pPr>
                    <w:pStyle w:val="75"/>
                    <w:spacing w:before="24" w:after="24"/>
                    <w:rPr>
                      <w:color w:val="auto"/>
                      <w:szCs w:val="24"/>
                    </w:rPr>
                  </w:pPr>
                </w:p>
              </w:tc>
              <w:tc>
                <w:tcPr>
                  <w:tcW w:w="1732"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柴油</w:t>
                  </w:r>
                </w:p>
              </w:tc>
              <w:tc>
                <w:tcPr>
                  <w:tcW w:w="1499"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0.2t/a</w:t>
                  </w:r>
                </w:p>
              </w:tc>
              <w:tc>
                <w:tcPr>
                  <w:tcW w:w="2149"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烃类</w:t>
                  </w:r>
                </w:p>
              </w:tc>
              <w:tc>
                <w:tcPr>
                  <w:tcW w:w="1071"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w:t>
                  </w:r>
                </w:p>
              </w:tc>
              <w:tc>
                <w:tcPr>
                  <w:tcW w:w="1176" w:type="dxa"/>
                  <w:tcBorders>
                    <w:top w:val="single" w:color="auto" w:sz="4" w:space="0"/>
                    <w:left w:val="single" w:color="auto" w:sz="4" w:space="0"/>
                    <w:bottom w:val="single" w:color="auto" w:sz="4" w:space="0"/>
                    <w:right w:val="single" w:color="auto" w:sz="4" w:space="0"/>
                  </w:tcBorders>
                  <w:vAlign w:val="center"/>
                </w:tcPr>
                <w:p>
                  <w:pPr>
                    <w:pStyle w:val="75"/>
                    <w:spacing w:before="24" w:after="24"/>
                    <w:rPr>
                      <w:color w:val="auto"/>
                    </w:rPr>
                  </w:pPr>
                  <w:r>
                    <w:rPr>
                      <w:color w:val="auto"/>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3" w:type="dxa"/>
                  <w:gridSpan w:val="6"/>
                  <w:tcBorders>
                    <w:left w:val="single" w:color="auto" w:sz="4" w:space="0"/>
                    <w:bottom w:val="single" w:color="auto" w:sz="4" w:space="0"/>
                    <w:right w:val="single" w:color="auto" w:sz="4" w:space="0"/>
                  </w:tcBorders>
                  <w:vAlign w:val="center"/>
                </w:tcPr>
                <w:p>
                  <w:pPr>
                    <w:pStyle w:val="75"/>
                    <w:spacing w:before="24" w:after="24"/>
                    <w:rPr>
                      <w:color w:val="auto"/>
                    </w:rPr>
                  </w:pPr>
                  <w:r>
                    <w:rPr>
                      <w:color w:val="auto"/>
                    </w:rPr>
                    <w:t>备注：柴油不在厂区设置储罐贮存，仅在柴油发电机内存储，最大存储量为0.2t。</w:t>
                  </w:r>
                </w:p>
              </w:tc>
            </w:tr>
          </w:tbl>
          <w:p>
            <w:pPr>
              <w:tabs>
                <w:tab w:val="left" w:pos="2929"/>
              </w:tabs>
              <w:adjustRightInd w:val="0"/>
              <w:snapToGrid w:val="0"/>
              <w:spacing w:line="360" w:lineRule="auto"/>
              <w:ind w:firstLine="482" w:firstLineChars="200"/>
              <w:rPr>
                <w:b/>
                <w:bCs/>
                <w:color w:val="auto"/>
                <w:sz w:val="24"/>
              </w:rPr>
            </w:pPr>
            <w:r>
              <w:rPr>
                <w:b/>
                <w:bCs/>
                <w:color w:val="auto"/>
                <w:sz w:val="24"/>
              </w:rPr>
              <w:t>6、公用工程</w:t>
            </w:r>
          </w:p>
          <w:p>
            <w:pPr>
              <w:spacing w:line="360" w:lineRule="auto"/>
              <w:ind w:firstLine="480" w:firstLineChars="200"/>
              <w:rPr>
                <w:color w:val="auto"/>
                <w:sz w:val="24"/>
              </w:rPr>
            </w:pPr>
            <w:r>
              <w:rPr>
                <w:color w:val="auto"/>
                <w:sz w:val="24"/>
              </w:rPr>
              <w:t>（1）给水</w:t>
            </w:r>
          </w:p>
          <w:p>
            <w:pPr>
              <w:spacing w:line="360" w:lineRule="auto"/>
              <w:ind w:firstLine="480" w:firstLineChars="200"/>
              <w:rPr>
                <w:color w:val="auto"/>
                <w:sz w:val="24"/>
              </w:rPr>
            </w:pPr>
            <w:r>
              <w:rPr>
                <w:color w:val="auto"/>
                <w:sz w:val="24"/>
              </w:rPr>
              <w:t>本项目用水主要为生产用水和生活用水，生产用水采用自来水及雨水等，来自项目收集池里的水经水泵抽至生产工序使用。</w:t>
            </w:r>
          </w:p>
          <w:p>
            <w:pPr>
              <w:spacing w:line="360" w:lineRule="auto"/>
              <w:ind w:firstLine="480" w:firstLineChars="200"/>
              <w:rPr>
                <w:color w:val="auto"/>
                <w:sz w:val="24"/>
              </w:rPr>
            </w:pPr>
            <w:r>
              <w:rPr>
                <w:color w:val="auto"/>
                <w:sz w:val="24"/>
              </w:rPr>
              <w:t>生活用水来自自来水，能满足《生活饮用水卫生标准》（GB5749-2006）的相关要求。</w:t>
            </w:r>
          </w:p>
          <w:p>
            <w:pPr>
              <w:spacing w:line="360" w:lineRule="auto"/>
              <w:ind w:firstLine="480" w:firstLineChars="200"/>
              <w:rPr>
                <w:color w:val="auto"/>
                <w:sz w:val="24"/>
              </w:rPr>
            </w:pPr>
            <w:r>
              <w:rPr>
                <w:color w:val="auto"/>
                <w:sz w:val="24"/>
              </w:rPr>
              <w:t>（2）排水</w:t>
            </w:r>
          </w:p>
          <w:p>
            <w:pPr>
              <w:pStyle w:val="80"/>
              <w:rPr>
                <w:color w:val="auto"/>
              </w:rPr>
            </w:pPr>
            <w:r>
              <w:rPr>
                <w:color w:val="auto"/>
              </w:rPr>
              <w:t>本项目劳动定员10人，均在项目区内食宿，根据《云南省地方标准用水定额》（DB53/T168-2019），用水量按90L/人•d计（其中餐厨用水量按40L/人•d计，其它生活用水量按50L/人•d计），则生活用水量为0.9m</w:t>
            </w:r>
            <w:r>
              <w:rPr>
                <w:color w:val="auto"/>
                <w:vertAlign w:val="superscript"/>
              </w:rPr>
              <w:t>3</w:t>
            </w:r>
            <w:r>
              <w:rPr>
                <w:color w:val="auto"/>
              </w:rPr>
              <w:t>/d、270m</w:t>
            </w:r>
            <w:r>
              <w:rPr>
                <w:color w:val="auto"/>
                <w:vertAlign w:val="superscript"/>
              </w:rPr>
              <w:t>3</w:t>
            </w:r>
            <w:r>
              <w:rPr>
                <w:color w:val="auto"/>
              </w:rPr>
              <w:t>/a（其中餐厨用水量0.4m</w:t>
            </w:r>
            <w:r>
              <w:rPr>
                <w:color w:val="auto"/>
                <w:vertAlign w:val="superscript"/>
              </w:rPr>
              <w:t>3</w:t>
            </w:r>
            <w:r>
              <w:rPr>
                <w:color w:val="auto"/>
              </w:rPr>
              <w:t>/d、120m</w:t>
            </w:r>
            <w:r>
              <w:rPr>
                <w:color w:val="auto"/>
                <w:vertAlign w:val="superscript"/>
              </w:rPr>
              <w:t>3</w:t>
            </w:r>
            <w:r>
              <w:rPr>
                <w:color w:val="auto"/>
              </w:rPr>
              <w:t>/a，其它生活用水量0.5m</w:t>
            </w:r>
            <w:r>
              <w:rPr>
                <w:color w:val="auto"/>
                <w:vertAlign w:val="superscript"/>
              </w:rPr>
              <w:t>3</w:t>
            </w:r>
            <w:r>
              <w:rPr>
                <w:color w:val="auto"/>
              </w:rPr>
              <w:t>/d、150m</w:t>
            </w:r>
            <w:r>
              <w:rPr>
                <w:color w:val="auto"/>
                <w:vertAlign w:val="superscript"/>
              </w:rPr>
              <w:t>3</w:t>
            </w:r>
            <w:r>
              <w:rPr>
                <w:color w:val="auto"/>
              </w:rPr>
              <w:t>/a），废水排放率以0.8计，生活废水产生量约为0.72m</w:t>
            </w:r>
            <w:r>
              <w:rPr>
                <w:color w:val="auto"/>
                <w:vertAlign w:val="superscript"/>
              </w:rPr>
              <w:t>3</w:t>
            </w:r>
            <w:r>
              <w:rPr>
                <w:color w:val="auto"/>
              </w:rPr>
              <w:t>/d、216m</w:t>
            </w:r>
            <w:r>
              <w:rPr>
                <w:color w:val="auto"/>
                <w:vertAlign w:val="superscript"/>
              </w:rPr>
              <w:t>3</w:t>
            </w:r>
            <w:r>
              <w:rPr>
                <w:color w:val="auto"/>
              </w:rPr>
              <w:t>/a（其中餐厨废水产生量为0.32m</w:t>
            </w:r>
            <w:r>
              <w:rPr>
                <w:color w:val="auto"/>
                <w:vertAlign w:val="superscript"/>
              </w:rPr>
              <w:t>3</w:t>
            </w:r>
            <w:r>
              <w:rPr>
                <w:color w:val="auto"/>
              </w:rPr>
              <w:t>/d，96m</w:t>
            </w:r>
            <w:r>
              <w:rPr>
                <w:color w:val="auto"/>
                <w:vertAlign w:val="superscript"/>
              </w:rPr>
              <w:t>3</w:t>
            </w:r>
            <w:r>
              <w:rPr>
                <w:color w:val="auto"/>
              </w:rPr>
              <w:t>/a，其它生活废水产生量0.4m</w:t>
            </w:r>
            <w:r>
              <w:rPr>
                <w:color w:val="auto"/>
                <w:vertAlign w:val="superscript"/>
              </w:rPr>
              <w:t>3</w:t>
            </w:r>
            <w:r>
              <w:rPr>
                <w:color w:val="auto"/>
              </w:rPr>
              <w:t>/d，120m</w:t>
            </w:r>
            <w:r>
              <w:rPr>
                <w:color w:val="auto"/>
                <w:vertAlign w:val="superscript"/>
              </w:rPr>
              <w:t>3</w:t>
            </w:r>
            <w:r>
              <w:rPr>
                <w:color w:val="auto"/>
              </w:rPr>
              <w:t>/a）。</w:t>
            </w:r>
          </w:p>
          <w:p>
            <w:pPr>
              <w:spacing w:line="360" w:lineRule="auto"/>
              <w:ind w:firstLine="480" w:firstLineChars="200"/>
              <w:rPr>
                <w:color w:val="auto"/>
                <w:sz w:val="24"/>
              </w:rPr>
            </w:pPr>
            <w:r>
              <w:rPr>
                <w:color w:val="auto"/>
                <w:sz w:val="24"/>
              </w:rPr>
              <w:t>本项目排水采用雨污分流制。厂区初期雨水经收集后进入初期雨水收集池，作为生产用水用于喷雾抑尘；本项目建成投产后，生产用喷淋用水经蒸发损耗或进入产品，无外排。废水主要来自办公生活，食堂污水经隔油池处理后，与其他生活污水一并经化粪池处理后，用做林地、绿化施肥，不外排。</w:t>
            </w:r>
          </w:p>
          <w:p>
            <w:pPr>
              <w:jc w:val="center"/>
              <w:rPr>
                <w:color w:val="auto"/>
              </w:rPr>
            </w:pPr>
            <w:r>
              <w:rPr>
                <w:color w:val="auto"/>
              </w:rPr>
              <w:object>
                <v:shape id="_x0000_i1025" o:spt="75" type="#_x0000_t75" style="height:150pt;width:307.8pt;" o:ole="t" filled="f" o:preferrelative="t" stroked="f" coordsize="21600,21600">
                  <v:path/>
                  <v:fill on="f" focussize="0,0"/>
                  <v:stroke on="f" joinstyle="miter"/>
                  <v:imagedata r:id="rId9" o:title=""/>
                  <o:lock v:ext="edit" aspectratio="t"/>
                  <w10:wrap type="none"/>
                  <w10:anchorlock/>
                </v:shape>
                <o:OLEObject Type="Embed" ProgID="Visio.Drawing.15" ShapeID="_x0000_i1025" DrawAspect="Content" ObjectID="_1468075725" r:id="rId8">
                  <o:LockedField>false</o:LockedField>
                </o:OLEObject>
              </w:object>
            </w:r>
          </w:p>
          <w:p>
            <w:pPr>
              <w:autoSpaceDE w:val="0"/>
              <w:autoSpaceDN w:val="0"/>
              <w:adjustRightInd w:val="0"/>
              <w:spacing w:line="360" w:lineRule="auto"/>
              <w:jc w:val="center"/>
              <w:rPr>
                <w:color w:val="auto"/>
                <w:szCs w:val="21"/>
              </w:rPr>
            </w:pPr>
            <w:r>
              <w:rPr>
                <w:b/>
                <w:color w:val="auto"/>
                <w:szCs w:val="21"/>
              </w:rPr>
              <w:t xml:space="preserve">图2-1   项目水平衡图 </w:t>
            </w:r>
            <w:r>
              <w:rPr>
                <w:color w:val="auto"/>
                <w:szCs w:val="21"/>
              </w:rPr>
              <w:t xml:space="preserve"> 单位m</w:t>
            </w:r>
            <w:r>
              <w:rPr>
                <w:color w:val="auto"/>
                <w:szCs w:val="21"/>
                <w:vertAlign w:val="superscript"/>
              </w:rPr>
              <w:t>3</w:t>
            </w:r>
            <w:r>
              <w:rPr>
                <w:color w:val="auto"/>
                <w:szCs w:val="21"/>
              </w:rPr>
              <w:t>/a</w:t>
            </w:r>
          </w:p>
          <w:p>
            <w:pPr>
              <w:pStyle w:val="54"/>
              <w:rPr>
                <w:color w:val="auto"/>
                <w:lang w:val="zh-CN"/>
              </w:rPr>
            </w:pPr>
            <w:r>
              <w:rPr>
                <w:color w:val="auto"/>
                <w:lang w:val="zh-CN"/>
              </w:rPr>
              <w:t>表</w:t>
            </w:r>
            <w:r>
              <w:rPr>
                <w:color w:val="auto"/>
              </w:rPr>
              <w:t xml:space="preserve">2-5    </w:t>
            </w:r>
            <w:r>
              <w:rPr>
                <w:color w:val="auto"/>
                <w:lang w:val="zh-CN"/>
              </w:rPr>
              <w:t>项目建成后厂区总用水量统计表</w:t>
            </w:r>
          </w:p>
          <w:tbl>
            <w:tblPr>
              <w:tblStyle w:val="25"/>
              <w:tblW w:w="85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056"/>
              <w:gridCol w:w="868"/>
              <w:gridCol w:w="903"/>
              <w:gridCol w:w="938"/>
              <w:gridCol w:w="664"/>
              <w:gridCol w:w="726"/>
              <w:gridCol w:w="2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Align w:val="center"/>
                </w:tcPr>
                <w:p>
                  <w:pPr>
                    <w:jc w:val="center"/>
                    <w:rPr>
                      <w:color w:val="auto"/>
                      <w:szCs w:val="21"/>
                    </w:rPr>
                  </w:pPr>
                  <w:r>
                    <w:rPr>
                      <w:color w:val="auto"/>
                      <w:szCs w:val="21"/>
                    </w:rPr>
                    <w:t>项目</w:t>
                  </w:r>
                </w:p>
              </w:tc>
              <w:tc>
                <w:tcPr>
                  <w:tcW w:w="1056" w:type="dxa"/>
                  <w:vAlign w:val="center"/>
                </w:tcPr>
                <w:p>
                  <w:pPr>
                    <w:jc w:val="center"/>
                    <w:rPr>
                      <w:color w:val="auto"/>
                      <w:szCs w:val="21"/>
                    </w:rPr>
                  </w:pPr>
                  <w:r>
                    <w:rPr>
                      <w:color w:val="auto"/>
                      <w:szCs w:val="21"/>
                    </w:rPr>
                    <w:t>用水</w:t>
                  </w:r>
                </w:p>
                <w:p>
                  <w:pPr>
                    <w:jc w:val="center"/>
                    <w:rPr>
                      <w:color w:val="auto"/>
                      <w:szCs w:val="21"/>
                    </w:rPr>
                  </w:pPr>
                  <w:r>
                    <w:rPr>
                      <w:color w:val="auto"/>
                      <w:szCs w:val="21"/>
                    </w:rPr>
                    <w:t>标准</w:t>
                  </w:r>
                </w:p>
              </w:tc>
              <w:tc>
                <w:tcPr>
                  <w:tcW w:w="868" w:type="dxa"/>
                  <w:vAlign w:val="center"/>
                </w:tcPr>
                <w:p>
                  <w:pPr>
                    <w:jc w:val="center"/>
                    <w:rPr>
                      <w:color w:val="auto"/>
                      <w:szCs w:val="21"/>
                    </w:rPr>
                  </w:pPr>
                  <w:r>
                    <w:rPr>
                      <w:color w:val="auto"/>
                      <w:szCs w:val="21"/>
                    </w:rPr>
                    <w:t>用水</w:t>
                  </w:r>
                </w:p>
                <w:p>
                  <w:pPr>
                    <w:jc w:val="center"/>
                    <w:rPr>
                      <w:color w:val="auto"/>
                      <w:szCs w:val="21"/>
                    </w:rPr>
                  </w:pPr>
                  <w:r>
                    <w:rPr>
                      <w:color w:val="auto"/>
                      <w:szCs w:val="21"/>
                    </w:rPr>
                    <w:t>规模</w:t>
                  </w:r>
                </w:p>
              </w:tc>
              <w:tc>
                <w:tcPr>
                  <w:tcW w:w="903" w:type="dxa"/>
                  <w:vAlign w:val="center"/>
                </w:tcPr>
                <w:p>
                  <w:pPr>
                    <w:jc w:val="center"/>
                    <w:rPr>
                      <w:color w:val="auto"/>
                      <w:szCs w:val="21"/>
                    </w:rPr>
                  </w:pPr>
                  <w:r>
                    <w:rPr>
                      <w:color w:val="auto"/>
                      <w:szCs w:val="21"/>
                    </w:rPr>
                    <w:t>日用水量m</w:t>
                  </w:r>
                  <w:r>
                    <w:rPr>
                      <w:color w:val="auto"/>
                      <w:szCs w:val="21"/>
                      <w:vertAlign w:val="superscript"/>
                    </w:rPr>
                    <w:t>3</w:t>
                  </w:r>
                  <w:r>
                    <w:rPr>
                      <w:color w:val="auto"/>
                      <w:szCs w:val="21"/>
                    </w:rPr>
                    <w:t>/d</w:t>
                  </w:r>
                </w:p>
              </w:tc>
              <w:tc>
                <w:tcPr>
                  <w:tcW w:w="938" w:type="dxa"/>
                  <w:vAlign w:val="center"/>
                </w:tcPr>
                <w:p>
                  <w:pPr>
                    <w:jc w:val="center"/>
                    <w:rPr>
                      <w:color w:val="auto"/>
                      <w:szCs w:val="21"/>
                    </w:rPr>
                  </w:pPr>
                  <w:r>
                    <w:rPr>
                      <w:color w:val="auto"/>
                      <w:szCs w:val="21"/>
                    </w:rPr>
                    <w:t>年用水量m</w:t>
                  </w:r>
                  <w:r>
                    <w:rPr>
                      <w:color w:val="auto"/>
                      <w:szCs w:val="21"/>
                      <w:vertAlign w:val="superscript"/>
                    </w:rPr>
                    <w:t>3</w:t>
                  </w:r>
                  <w:r>
                    <w:rPr>
                      <w:color w:val="auto"/>
                      <w:szCs w:val="21"/>
                    </w:rPr>
                    <w:t>/a</w:t>
                  </w:r>
                </w:p>
              </w:tc>
              <w:tc>
                <w:tcPr>
                  <w:tcW w:w="664" w:type="dxa"/>
                  <w:vAlign w:val="center"/>
                </w:tcPr>
                <w:p>
                  <w:pPr>
                    <w:jc w:val="center"/>
                    <w:rPr>
                      <w:color w:val="auto"/>
                      <w:szCs w:val="21"/>
                    </w:rPr>
                  </w:pPr>
                  <w:r>
                    <w:rPr>
                      <w:color w:val="auto"/>
                      <w:szCs w:val="21"/>
                    </w:rPr>
                    <w:t>回用水量</w:t>
                  </w:r>
                </w:p>
              </w:tc>
              <w:tc>
                <w:tcPr>
                  <w:tcW w:w="726" w:type="dxa"/>
                  <w:vAlign w:val="center"/>
                </w:tcPr>
                <w:p>
                  <w:pPr>
                    <w:jc w:val="center"/>
                    <w:rPr>
                      <w:color w:val="auto"/>
                      <w:szCs w:val="21"/>
                    </w:rPr>
                  </w:pPr>
                  <w:r>
                    <w:rPr>
                      <w:color w:val="auto"/>
                      <w:szCs w:val="21"/>
                    </w:rPr>
                    <w:t>年排水量m</w:t>
                  </w:r>
                  <w:r>
                    <w:rPr>
                      <w:color w:val="auto"/>
                      <w:szCs w:val="21"/>
                      <w:vertAlign w:val="superscript"/>
                    </w:rPr>
                    <w:t>3</w:t>
                  </w:r>
                  <w:r>
                    <w:rPr>
                      <w:color w:val="auto"/>
                      <w:szCs w:val="21"/>
                    </w:rPr>
                    <w:t>/a</w:t>
                  </w:r>
                </w:p>
              </w:tc>
              <w:tc>
                <w:tcPr>
                  <w:tcW w:w="2624" w:type="dxa"/>
                  <w:vAlign w:val="center"/>
                </w:tcPr>
                <w:p>
                  <w:pPr>
                    <w:jc w:val="center"/>
                    <w:rPr>
                      <w:color w:val="auto"/>
                      <w:szCs w:val="21"/>
                    </w:rPr>
                  </w:pPr>
                  <w:r>
                    <w:rPr>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Align w:val="center"/>
                </w:tcPr>
                <w:p>
                  <w:pPr>
                    <w:jc w:val="center"/>
                    <w:rPr>
                      <w:color w:val="auto"/>
                      <w:szCs w:val="21"/>
                    </w:rPr>
                  </w:pPr>
                  <w:r>
                    <w:rPr>
                      <w:color w:val="auto"/>
                      <w:szCs w:val="21"/>
                    </w:rPr>
                    <w:t>生活</w:t>
                  </w:r>
                </w:p>
                <w:p>
                  <w:pPr>
                    <w:jc w:val="center"/>
                    <w:rPr>
                      <w:color w:val="auto"/>
                      <w:szCs w:val="21"/>
                    </w:rPr>
                  </w:pPr>
                  <w:r>
                    <w:rPr>
                      <w:color w:val="auto"/>
                      <w:szCs w:val="21"/>
                    </w:rPr>
                    <w:t>用水</w:t>
                  </w:r>
                </w:p>
              </w:tc>
              <w:tc>
                <w:tcPr>
                  <w:tcW w:w="1056" w:type="dxa"/>
                  <w:vAlign w:val="center"/>
                </w:tcPr>
                <w:p>
                  <w:pPr>
                    <w:jc w:val="center"/>
                    <w:rPr>
                      <w:color w:val="auto"/>
                      <w:szCs w:val="21"/>
                    </w:rPr>
                  </w:pPr>
                  <w:r>
                    <w:rPr>
                      <w:color w:val="auto"/>
                      <w:szCs w:val="21"/>
                    </w:rPr>
                    <w:t>90m</w:t>
                  </w:r>
                  <w:r>
                    <w:rPr>
                      <w:color w:val="auto"/>
                      <w:szCs w:val="21"/>
                      <w:vertAlign w:val="superscript"/>
                    </w:rPr>
                    <w:t>3</w:t>
                  </w:r>
                  <w:r>
                    <w:rPr>
                      <w:color w:val="auto"/>
                      <w:szCs w:val="21"/>
                    </w:rPr>
                    <w:t>/人·a</w:t>
                  </w:r>
                </w:p>
              </w:tc>
              <w:tc>
                <w:tcPr>
                  <w:tcW w:w="868" w:type="dxa"/>
                  <w:vAlign w:val="center"/>
                </w:tcPr>
                <w:p>
                  <w:pPr>
                    <w:jc w:val="center"/>
                    <w:rPr>
                      <w:color w:val="auto"/>
                      <w:szCs w:val="21"/>
                    </w:rPr>
                  </w:pPr>
                  <w:r>
                    <w:rPr>
                      <w:color w:val="auto"/>
                      <w:szCs w:val="21"/>
                    </w:rPr>
                    <w:t>10人</w:t>
                  </w:r>
                </w:p>
              </w:tc>
              <w:tc>
                <w:tcPr>
                  <w:tcW w:w="903" w:type="dxa"/>
                  <w:vAlign w:val="center"/>
                </w:tcPr>
                <w:p>
                  <w:pPr>
                    <w:jc w:val="center"/>
                    <w:rPr>
                      <w:color w:val="auto"/>
                      <w:szCs w:val="21"/>
                    </w:rPr>
                  </w:pPr>
                  <w:r>
                    <w:rPr>
                      <w:color w:val="auto"/>
                      <w:szCs w:val="21"/>
                    </w:rPr>
                    <w:t>0.9</w:t>
                  </w:r>
                </w:p>
              </w:tc>
              <w:tc>
                <w:tcPr>
                  <w:tcW w:w="938" w:type="dxa"/>
                  <w:vAlign w:val="center"/>
                </w:tcPr>
                <w:p>
                  <w:pPr>
                    <w:jc w:val="center"/>
                    <w:rPr>
                      <w:color w:val="auto"/>
                      <w:szCs w:val="21"/>
                    </w:rPr>
                  </w:pPr>
                  <w:r>
                    <w:rPr>
                      <w:color w:val="auto"/>
                      <w:szCs w:val="21"/>
                    </w:rPr>
                    <w:t>270</w:t>
                  </w:r>
                </w:p>
              </w:tc>
              <w:tc>
                <w:tcPr>
                  <w:tcW w:w="664" w:type="dxa"/>
                  <w:vAlign w:val="center"/>
                </w:tcPr>
                <w:p>
                  <w:pPr>
                    <w:jc w:val="center"/>
                    <w:rPr>
                      <w:color w:val="auto"/>
                      <w:szCs w:val="21"/>
                    </w:rPr>
                  </w:pPr>
                  <w:r>
                    <w:rPr>
                      <w:color w:val="auto"/>
                      <w:szCs w:val="21"/>
                    </w:rPr>
                    <w:t>0</w:t>
                  </w:r>
                </w:p>
              </w:tc>
              <w:tc>
                <w:tcPr>
                  <w:tcW w:w="726" w:type="dxa"/>
                  <w:vAlign w:val="center"/>
                </w:tcPr>
                <w:p>
                  <w:pPr>
                    <w:jc w:val="center"/>
                    <w:rPr>
                      <w:color w:val="auto"/>
                      <w:szCs w:val="21"/>
                    </w:rPr>
                  </w:pPr>
                  <w:r>
                    <w:rPr>
                      <w:color w:val="auto"/>
                      <w:szCs w:val="21"/>
                    </w:rPr>
                    <w:t>216</w:t>
                  </w:r>
                </w:p>
              </w:tc>
              <w:tc>
                <w:tcPr>
                  <w:tcW w:w="2624" w:type="dxa"/>
                  <w:vAlign w:val="center"/>
                </w:tcPr>
                <w:p>
                  <w:pPr>
                    <w:jc w:val="center"/>
                    <w:rPr>
                      <w:color w:val="auto"/>
                      <w:szCs w:val="21"/>
                    </w:rPr>
                  </w:pPr>
                  <w:r>
                    <w:rPr>
                      <w:color w:val="auto"/>
                      <w:szCs w:val="21"/>
                    </w:rPr>
                    <w:t>食堂污水经隔油池处理后，与其他生活污水一并经化粪池处理后，用做林地、绿化施肥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Align w:val="center"/>
                </w:tcPr>
                <w:p>
                  <w:pPr>
                    <w:jc w:val="center"/>
                    <w:rPr>
                      <w:color w:val="auto"/>
                      <w:szCs w:val="21"/>
                    </w:rPr>
                  </w:pPr>
                  <w:r>
                    <w:rPr>
                      <w:color w:val="auto"/>
                      <w:szCs w:val="21"/>
                    </w:rPr>
                    <w:t>生产线喷雾</w:t>
                  </w:r>
                </w:p>
              </w:tc>
              <w:tc>
                <w:tcPr>
                  <w:tcW w:w="1056" w:type="dxa"/>
                  <w:vAlign w:val="center"/>
                </w:tcPr>
                <w:p>
                  <w:pPr>
                    <w:jc w:val="center"/>
                    <w:rPr>
                      <w:color w:val="auto"/>
                      <w:szCs w:val="21"/>
                    </w:rPr>
                  </w:pPr>
                  <w:r>
                    <w:rPr>
                      <w:color w:val="auto"/>
                      <w:szCs w:val="21"/>
                    </w:rPr>
                    <w:t>0.1m</w:t>
                  </w:r>
                  <w:r>
                    <w:rPr>
                      <w:color w:val="auto"/>
                      <w:szCs w:val="21"/>
                      <w:vertAlign w:val="superscript"/>
                    </w:rPr>
                    <w:t>3</w:t>
                  </w:r>
                  <w:r>
                    <w:rPr>
                      <w:color w:val="auto"/>
                      <w:szCs w:val="21"/>
                    </w:rPr>
                    <w:t>/t-原料</w:t>
                  </w:r>
                </w:p>
              </w:tc>
              <w:tc>
                <w:tcPr>
                  <w:tcW w:w="868" w:type="dxa"/>
                  <w:vAlign w:val="center"/>
                </w:tcPr>
                <w:p>
                  <w:pPr>
                    <w:jc w:val="center"/>
                    <w:rPr>
                      <w:color w:val="auto"/>
                      <w:szCs w:val="21"/>
                    </w:rPr>
                  </w:pPr>
                  <w:r>
                    <w:rPr>
                      <w:color w:val="auto"/>
                      <w:szCs w:val="21"/>
                    </w:rPr>
                    <w:t>100000</w:t>
                  </w:r>
                </w:p>
              </w:tc>
              <w:tc>
                <w:tcPr>
                  <w:tcW w:w="903" w:type="dxa"/>
                  <w:vAlign w:val="center"/>
                </w:tcPr>
                <w:p>
                  <w:pPr>
                    <w:jc w:val="center"/>
                    <w:rPr>
                      <w:color w:val="auto"/>
                      <w:szCs w:val="21"/>
                    </w:rPr>
                  </w:pPr>
                  <w:r>
                    <w:rPr>
                      <w:color w:val="auto"/>
                      <w:szCs w:val="21"/>
                    </w:rPr>
                    <w:t>33.33</w:t>
                  </w:r>
                </w:p>
              </w:tc>
              <w:tc>
                <w:tcPr>
                  <w:tcW w:w="938" w:type="dxa"/>
                  <w:vAlign w:val="center"/>
                </w:tcPr>
                <w:p>
                  <w:pPr>
                    <w:jc w:val="center"/>
                    <w:rPr>
                      <w:color w:val="auto"/>
                      <w:szCs w:val="21"/>
                    </w:rPr>
                  </w:pPr>
                  <w:r>
                    <w:rPr>
                      <w:color w:val="auto"/>
                      <w:szCs w:val="21"/>
                    </w:rPr>
                    <w:t>10000</w:t>
                  </w:r>
                </w:p>
              </w:tc>
              <w:tc>
                <w:tcPr>
                  <w:tcW w:w="664" w:type="dxa"/>
                  <w:vAlign w:val="center"/>
                </w:tcPr>
                <w:p>
                  <w:pPr>
                    <w:jc w:val="center"/>
                    <w:rPr>
                      <w:color w:val="auto"/>
                      <w:szCs w:val="21"/>
                    </w:rPr>
                  </w:pPr>
                  <w:r>
                    <w:rPr>
                      <w:color w:val="auto"/>
                      <w:szCs w:val="21"/>
                    </w:rPr>
                    <w:t>0</w:t>
                  </w:r>
                </w:p>
              </w:tc>
              <w:tc>
                <w:tcPr>
                  <w:tcW w:w="726" w:type="dxa"/>
                  <w:vAlign w:val="center"/>
                </w:tcPr>
                <w:p>
                  <w:pPr>
                    <w:jc w:val="center"/>
                    <w:rPr>
                      <w:color w:val="auto"/>
                      <w:szCs w:val="21"/>
                    </w:rPr>
                  </w:pPr>
                  <w:r>
                    <w:rPr>
                      <w:color w:val="auto"/>
                      <w:szCs w:val="21"/>
                    </w:rPr>
                    <w:t>0</w:t>
                  </w:r>
                </w:p>
              </w:tc>
              <w:tc>
                <w:tcPr>
                  <w:tcW w:w="2624" w:type="dxa"/>
                  <w:vAlign w:val="center"/>
                </w:tcPr>
                <w:p>
                  <w:pPr>
                    <w:jc w:val="center"/>
                    <w:rPr>
                      <w:color w:val="auto"/>
                      <w:szCs w:val="21"/>
                    </w:rPr>
                  </w:pPr>
                  <w:r>
                    <w:rPr>
                      <w:color w:val="auto"/>
                      <w:szCs w:val="21"/>
                    </w:rPr>
                    <w:t>蒸发或进入产品，无废水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Align w:val="center"/>
                </w:tcPr>
                <w:p>
                  <w:pPr>
                    <w:jc w:val="center"/>
                    <w:rPr>
                      <w:color w:val="auto"/>
                      <w:szCs w:val="21"/>
                    </w:rPr>
                  </w:pPr>
                  <w:r>
                    <w:rPr>
                      <w:color w:val="auto"/>
                      <w:szCs w:val="21"/>
                    </w:rPr>
                    <w:t>堆场降尘</w:t>
                  </w:r>
                </w:p>
              </w:tc>
              <w:tc>
                <w:tcPr>
                  <w:tcW w:w="1056" w:type="dxa"/>
                  <w:vAlign w:val="center"/>
                </w:tcPr>
                <w:p>
                  <w:pPr>
                    <w:jc w:val="center"/>
                    <w:rPr>
                      <w:color w:val="auto"/>
                      <w:szCs w:val="21"/>
                    </w:rPr>
                  </w:pPr>
                  <w:r>
                    <w:rPr>
                      <w:color w:val="auto"/>
                      <w:szCs w:val="21"/>
                    </w:rPr>
                    <w:t>1L/m</w:t>
                  </w:r>
                  <w:r>
                    <w:rPr>
                      <w:color w:val="auto"/>
                      <w:szCs w:val="21"/>
                      <w:vertAlign w:val="superscript"/>
                    </w:rPr>
                    <w:t>2</w:t>
                  </w:r>
                  <w:r>
                    <w:rPr>
                      <w:color w:val="auto"/>
                      <w:szCs w:val="21"/>
                    </w:rPr>
                    <w:t>·d</w:t>
                  </w:r>
                </w:p>
              </w:tc>
              <w:tc>
                <w:tcPr>
                  <w:tcW w:w="868" w:type="dxa"/>
                  <w:vAlign w:val="center"/>
                </w:tcPr>
                <w:p>
                  <w:pPr>
                    <w:jc w:val="center"/>
                    <w:rPr>
                      <w:color w:val="auto"/>
                      <w:szCs w:val="21"/>
                    </w:rPr>
                  </w:pPr>
                  <w:r>
                    <w:rPr>
                      <w:color w:val="auto"/>
                      <w:szCs w:val="21"/>
                    </w:rPr>
                    <w:t>5000m</w:t>
                  </w:r>
                  <w:r>
                    <w:rPr>
                      <w:color w:val="auto"/>
                      <w:szCs w:val="21"/>
                      <w:vertAlign w:val="superscript"/>
                    </w:rPr>
                    <w:t>2</w:t>
                  </w:r>
                </w:p>
              </w:tc>
              <w:tc>
                <w:tcPr>
                  <w:tcW w:w="903" w:type="dxa"/>
                  <w:vAlign w:val="center"/>
                </w:tcPr>
                <w:p>
                  <w:pPr>
                    <w:jc w:val="center"/>
                    <w:rPr>
                      <w:color w:val="auto"/>
                      <w:szCs w:val="21"/>
                    </w:rPr>
                  </w:pPr>
                  <w:r>
                    <w:rPr>
                      <w:color w:val="auto"/>
                      <w:szCs w:val="21"/>
                    </w:rPr>
                    <w:t>5</w:t>
                  </w:r>
                </w:p>
              </w:tc>
              <w:tc>
                <w:tcPr>
                  <w:tcW w:w="938" w:type="dxa"/>
                  <w:vAlign w:val="center"/>
                </w:tcPr>
                <w:p>
                  <w:pPr>
                    <w:jc w:val="center"/>
                    <w:rPr>
                      <w:color w:val="auto"/>
                      <w:szCs w:val="21"/>
                    </w:rPr>
                  </w:pPr>
                  <w:r>
                    <w:rPr>
                      <w:color w:val="auto"/>
                      <w:szCs w:val="21"/>
                    </w:rPr>
                    <w:t>1500</w:t>
                  </w:r>
                </w:p>
              </w:tc>
              <w:tc>
                <w:tcPr>
                  <w:tcW w:w="664" w:type="dxa"/>
                  <w:vAlign w:val="center"/>
                </w:tcPr>
                <w:p>
                  <w:pPr>
                    <w:jc w:val="center"/>
                    <w:rPr>
                      <w:color w:val="auto"/>
                      <w:szCs w:val="21"/>
                    </w:rPr>
                  </w:pPr>
                  <w:r>
                    <w:rPr>
                      <w:color w:val="auto"/>
                      <w:szCs w:val="21"/>
                    </w:rPr>
                    <w:t>0</w:t>
                  </w:r>
                </w:p>
              </w:tc>
              <w:tc>
                <w:tcPr>
                  <w:tcW w:w="726" w:type="dxa"/>
                  <w:vAlign w:val="center"/>
                </w:tcPr>
                <w:p>
                  <w:pPr>
                    <w:jc w:val="center"/>
                    <w:rPr>
                      <w:color w:val="auto"/>
                      <w:szCs w:val="21"/>
                    </w:rPr>
                  </w:pPr>
                  <w:r>
                    <w:rPr>
                      <w:color w:val="auto"/>
                      <w:szCs w:val="21"/>
                    </w:rPr>
                    <w:t>0</w:t>
                  </w:r>
                </w:p>
              </w:tc>
              <w:tc>
                <w:tcPr>
                  <w:tcW w:w="2624" w:type="dxa"/>
                  <w:vMerge w:val="restart"/>
                  <w:vAlign w:val="center"/>
                </w:tcPr>
                <w:p>
                  <w:pPr>
                    <w:jc w:val="center"/>
                    <w:rPr>
                      <w:color w:val="auto"/>
                      <w:szCs w:val="21"/>
                    </w:rPr>
                  </w:pPr>
                  <w:r>
                    <w:rPr>
                      <w:color w:val="auto"/>
                      <w:szCs w:val="21"/>
                    </w:rPr>
                    <w:t>蒸发等损耗，无废水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Align w:val="center"/>
                </w:tcPr>
                <w:p>
                  <w:pPr>
                    <w:jc w:val="center"/>
                    <w:rPr>
                      <w:color w:val="auto"/>
                      <w:szCs w:val="21"/>
                    </w:rPr>
                  </w:pPr>
                  <w:r>
                    <w:rPr>
                      <w:color w:val="auto"/>
                      <w:szCs w:val="21"/>
                    </w:rPr>
                    <w:t>道路洒水</w:t>
                  </w:r>
                </w:p>
              </w:tc>
              <w:tc>
                <w:tcPr>
                  <w:tcW w:w="1056" w:type="dxa"/>
                  <w:vAlign w:val="center"/>
                </w:tcPr>
                <w:p>
                  <w:pPr>
                    <w:jc w:val="center"/>
                    <w:rPr>
                      <w:color w:val="auto"/>
                      <w:szCs w:val="21"/>
                    </w:rPr>
                  </w:pPr>
                  <w:r>
                    <w:rPr>
                      <w:color w:val="auto"/>
                      <w:szCs w:val="21"/>
                    </w:rPr>
                    <w:t>1L/m</w:t>
                  </w:r>
                  <w:r>
                    <w:rPr>
                      <w:color w:val="auto"/>
                      <w:szCs w:val="21"/>
                      <w:vertAlign w:val="superscript"/>
                    </w:rPr>
                    <w:t>2</w:t>
                  </w:r>
                  <w:r>
                    <w:rPr>
                      <w:color w:val="auto"/>
                      <w:szCs w:val="21"/>
                    </w:rPr>
                    <w:t>·d</w:t>
                  </w:r>
                </w:p>
              </w:tc>
              <w:tc>
                <w:tcPr>
                  <w:tcW w:w="868" w:type="dxa"/>
                  <w:vAlign w:val="center"/>
                </w:tcPr>
                <w:p>
                  <w:pPr>
                    <w:jc w:val="center"/>
                    <w:rPr>
                      <w:color w:val="auto"/>
                      <w:szCs w:val="21"/>
                    </w:rPr>
                  </w:pPr>
                  <w:r>
                    <w:rPr>
                      <w:color w:val="auto"/>
                      <w:szCs w:val="21"/>
                    </w:rPr>
                    <w:t>5000m</w:t>
                  </w:r>
                  <w:r>
                    <w:rPr>
                      <w:color w:val="auto"/>
                      <w:szCs w:val="21"/>
                      <w:vertAlign w:val="superscript"/>
                    </w:rPr>
                    <w:t>2</w:t>
                  </w:r>
                </w:p>
              </w:tc>
              <w:tc>
                <w:tcPr>
                  <w:tcW w:w="903" w:type="dxa"/>
                  <w:vAlign w:val="center"/>
                </w:tcPr>
                <w:p>
                  <w:pPr>
                    <w:jc w:val="center"/>
                    <w:rPr>
                      <w:color w:val="auto"/>
                      <w:szCs w:val="21"/>
                    </w:rPr>
                  </w:pPr>
                  <w:r>
                    <w:rPr>
                      <w:color w:val="auto"/>
                      <w:szCs w:val="21"/>
                    </w:rPr>
                    <w:t>5</w:t>
                  </w:r>
                </w:p>
              </w:tc>
              <w:tc>
                <w:tcPr>
                  <w:tcW w:w="938" w:type="dxa"/>
                  <w:vAlign w:val="center"/>
                </w:tcPr>
                <w:p>
                  <w:pPr>
                    <w:jc w:val="center"/>
                    <w:rPr>
                      <w:color w:val="auto"/>
                      <w:szCs w:val="21"/>
                    </w:rPr>
                  </w:pPr>
                  <w:r>
                    <w:rPr>
                      <w:color w:val="auto"/>
                      <w:szCs w:val="21"/>
                    </w:rPr>
                    <w:t>1500</w:t>
                  </w:r>
                </w:p>
              </w:tc>
              <w:tc>
                <w:tcPr>
                  <w:tcW w:w="664" w:type="dxa"/>
                  <w:vAlign w:val="center"/>
                </w:tcPr>
                <w:p>
                  <w:pPr>
                    <w:jc w:val="center"/>
                    <w:rPr>
                      <w:color w:val="auto"/>
                      <w:szCs w:val="21"/>
                    </w:rPr>
                  </w:pPr>
                  <w:r>
                    <w:rPr>
                      <w:color w:val="auto"/>
                      <w:szCs w:val="21"/>
                    </w:rPr>
                    <w:t>0</w:t>
                  </w:r>
                </w:p>
              </w:tc>
              <w:tc>
                <w:tcPr>
                  <w:tcW w:w="726" w:type="dxa"/>
                  <w:vAlign w:val="center"/>
                </w:tcPr>
                <w:p>
                  <w:pPr>
                    <w:jc w:val="center"/>
                    <w:rPr>
                      <w:color w:val="auto"/>
                      <w:szCs w:val="21"/>
                    </w:rPr>
                  </w:pPr>
                  <w:r>
                    <w:rPr>
                      <w:color w:val="auto"/>
                      <w:szCs w:val="21"/>
                    </w:rPr>
                    <w:t>0</w:t>
                  </w:r>
                </w:p>
              </w:tc>
              <w:tc>
                <w:tcPr>
                  <w:tcW w:w="2624" w:type="dxa"/>
                  <w:vMerge w:val="continue"/>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8" w:type="dxa"/>
                  <w:gridSpan w:val="3"/>
                  <w:vAlign w:val="center"/>
                </w:tcPr>
                <w:p>
                  <w:pPr>
                    <w:jc w:val="center"/>
                    <w:rPr>
                      <w:color w:val="auto"/>
                      <w:szCs w:val="21"/>
                    </w:rPr>
                  </w:pPr>
                  <w:r>
                    <w:rPr>
                      <w:color w:val="auto"/>
                      <w:szCs w:val="21"/>
                    </w:rPr>
                    <w:t>合计</w:t>
                  </w:r>
                </w:p>
              </w:tc>
              <w:tc>
                <w:tcPr>
                  <w:tcW w:w="903" w:type="dxa"/>
                  <w:vAlign w:val="center"/>
                </w:tcPr>
                <w:p>
                  <w:pPr>
                    <w:jc w:val="center"/>
                    <w:rPr>
                      <w:color w:val="auto"/>
                      <w:szCs w:val="21"/>
                    </w:rPr>
                  </w:pPr>
                  <w:r>
                    <w:rPr>
                      <w:color w:val="auto"/>
                      <w:szCs w:val="21"/>
                    </w:rPr>
                    <w:fldChar w:fldCharType="begin"/>
                  </w:r>
                  <w:r>
                    <w:rPr>
                      <w:color w:val="auto"/>
                      <w:szCs w:val="21"/>
                    </w:rPr>
                    <w:instrText xml:space="preserve"> =SUM(ABOVE) </w:instrText>
                  </w:r>
                  <w:r>
                    <w:rPr>
                      <w:color w:val="auto"/>
                      <w:szCs w:val="21"/>
                    </w:rPr>
                    <w:fldChar w:fldCharType="separate"/>
                  </w:r>
                  <w:r>
                    <w:rPr>
                      <w:color w:val="auto"/>
                      <w:szCs w:val="21"/>
                    </w:rPr>
                    <w:t>44.23</w:t>
                  </w:r>
                  <w:r>
                    <w:rPr>
                      <w:color w:val="auto"/>
                      <w:szCs w:val="21"/>
                    </w:rPr>
                    <w:fldChar w:fldCharType="end"/>
                  </w:r>
                </w:p>
              </w:tc>
              <w:tc>
                <w:tcPr>
                  <w:tcW w:w="938" w:type="dxa"/>
                  <w:vAlign w:val="center"/>
                </w:tcPr>
                <w:p>
                  <w:pPr>
                    <w:jc w:val="center"/>
                    <w:rPr>
                      <w:color w:val="auto"/>
                      <w:szCs w:val="21"/>
                    </w:rPr>
                  </w:pPr>
                  <w:r>
                    <w:rPr>
                      <w:color w:val="auto"/>
                      <w:szCs w:val="21"/>
                    </w:rPr>
                    <w:fldChar w:fldCharType="begin"/>
                  </w:r>
                  <w:r>
                    <w:rPr>
                      <w:color w:val="auto"/>
                      <w:szCs w:val="21"/>
                    </w:rPr>
                    <w:instrText xml:space="preserve"> =SUM(ABOVE) </w:instrText>
                  </w:r>
                  <w:r>
                    <w:rPr>
                      <w:color w:val="auto"/>
                      <w:szCs w:val="21"/>
                    </w:rPr>
                    <w:fldChar w:fldCharType="separate"/>
                  </w:r>
                  <w:r>
                    <w:rPr>
                      <w:color w:val="auto"/>
                      <w:szCs w:val="21"/>
                    </w:rPr>
                    <w:t>13270</w:t>
                  </w:r>
                  <w:r>
                    <w:rPr>
                      <w:color w:val="auto"/>
                      <w:szCs w:val="21"/>
                    </w:rPr>
                    <w:fldChar w:fldCharType="end"/>
                  </w:r>
                </w:p>
              </w:tc>
              <w:tc>
                <w:tcPr>
                  <w:tcW w:w="664" w:type="dxa"/>
                  <w:vAlign w:val="center"/>
                </w:tcPr>
                <w:p>
                  <w:pPr>
                    <w:jc w:val="center"/>
                    <w:rPr>
                      <w:color w:val="auto"/>
                      <w:szCs w:val="21"/>
                    </w:rPr>
                  </w:pPr>
                  <w:r>
                    <w:rPr>
                      <w:color w:val="auto"/>
                      <w:szCs w:val="21"/>
                    </w:rPr>
                    <w:fldChar w:fldCharType="begin"/>
                  </w:r>
                  <w:r>
                    <w:rPr>
                      <w:color w:val="auto"/>
                      <w:szCs w:val="21"/>
                    </w:rPr>
                    <w:instrText xml:space="preserve"> =SUM(ABOVE) </w:instrText>
                  </w:r>
                  <w:r>
                    <w:rPr>
                      <w:color w:val="auto"/>
                      <w:szCs w:val="21"/>
                    </w:rPr>
                    <w:fldChar w:fldCharType="separate"/>
                  </w:r>
                  <w:r>
                    <w:rPr>
                      <w:color w:val="auto"/>
                      <w:szCs w:val="21"/>
                    </w:rPr>
                    <w:t>0</w:t>
                  </w:r>
                  <w:r>
                    <w:rPr>
                      <w:color w:val="auto"/>
                      <w:szCs w:val="21"/>
                    </w:rPr>
                    <w:fldChar w:fldCharType="end"/>
                  </w:r>
                </w:p>
              </w:tc>
              <w:tc>
                <w:tcPr>
                  <w:tcW w:w="726" w:type="dxa"/>
                  <w:vAlign w:val="center"/>
                </w:tcPr>
                <w:p>
                  <w:pPr>
                    <w:jc w:val="center"/>
                    <w:rPr>
                      <w:color w:val="auto"/>
                      <w:szCs w:val="21"/>
                    </w:rPr>
                  </w:pPr>
                  <w:r>
                    <w:rPr>
                      <w:color w:val="auto"/>
                      <w:szCs w:val="21"/>
                    </w:rPr>
                    <w:fldChar w:fldCharType="begin"/>
                  </w:r>
                  <w:r>
                    <w:rPr>
                      <w:color w:val="auto"/>
                      <w:szCs w:val="21"/>
                    </w:rPr>
                    <w:instrText xml:space="preserve"> =SUM(ABOVE) </w:instrText>
                  </w:r>
                  <w:r>
                    <w:rPr>
                      <w:color w:val="auto"/>
                      <w:szCs w:val="21"/>
                    </w:rPr>
                    <w:fldChar w:fldCharType="separate"/>
                  </w:r>
                  <w:r>
                    <w:rPr>
                      <w:color w:val="auto"/>
                      <w:szCs w:val="21"/>
                    </w:rPr>
                    <w:t>216</w:t>
                  </w:r>
                  <w:r>
                    <w:rPr>
                      <w:color w:val="auto"/>
                      <w:szCs w:val="21"/>
                    </w:rPr>
                    <w:fldChar w:fldCharType="end"/>
                  </w:r>
                </w:p>
              </w:tc>
              <w:tc>
                <w:tcPr>
                  <w:tcW w:w="2624" w:type="dxa"/>
                  <w:vAlign w:val="center"/>
                </w:tcPr>
                <w:p>
                  <w:pPr>
                    <w:jc w:val="center"/>
                    <w:rPr>
                      <w:color w:val="auto"/>
                      <w:szCs w:val="21"/>
                    </w:rPr>
                  </w:pPr>
                  <w:r>
                    <w:rPr>
                      <w:color w:val="auto"/>
                      <w:szCs w:val="21"/>
                    </w:rPr>
                    <w:t>/</w:t>
                  </w:r>
                </w:p>
              </w:tc>
            </w:tr>
          </w:tbl>
          <w:p>
            <w:pPr>
              <w:spacing w:line="360" w:lineRule="auto"/>
              <w:ind w:firstLine="480" w:firstLineChars="200"/>
              <w:rPr>
                <w:color w:val="auto"/>
                <w:sz w:val="24"/>
              </w:rPr>
            </w:pPr>
            <w:r>
              <w:rPr>
                <w:color w:val="auto"/>
                <w:sz w:val="24"/>
              </w:rPr>
              <w:t>（3）供电</w:t>
            </w:r>
          </w:p>
          <w:p>
            <w:pPr>
              <w:spacing w:line="360" w:lineRule="auto"/>
              <w:ind w:firstLine="480" w:firstLineChars="200"/>
              <w:rPr>
                <w:color w:val="auto"/>
                <w:sz w:val="24"/>
              </w:rPr>
            </w:pPr>
            <w:r>
              <w:rPr>
                <w:color w:val="auto"/>
                <w:sz w:val="24"/>
              </w:rPr>
              <w:t>本项目用电由白石镇电网供电，供给有保障。</w:t>
            </w:r>
          </w:p>
          <w:p>
            <w:pPr>
              <w:spacing w:line="360" w:lineRule="auto"/>
              <w:ind w:firstLine="482" w:firstLineChars="200"/>
              <w:jc w:val="left"/>
              <w:rPr>
                <w:b/>
                <w:bCs/>
                <w:color w:val="auto"/>
                <w:sz w:val="24"/>
              </w:rPr>
            </w:pPr>
            <w:r>
              <w:rPr>
                <w:b/>
                <w:bCs/>
                <w:color w:val="auto"/>
                <w:sz w:val="24"/>
              </w:rPr>
              <w:t>7、劳动定员</w:t>
            </w:r>
          </w:p>
          <w:p>
            <w:pPr>
              <w:spacing w:line="360" w:lineRule="auto"/>
              <w:ind w:firstLine="480" w:firstLineChars="200"/>
              <w:rPr>
                <w:color w:val="auto"/>
                <w:sz w:val="24"/>
              </w:rPr>
            </w:pPr>
            <w:r>
              <w:rPr>
                <w:color w:val="auto"/>
                <w:sz w:val="24"/>
              </w:rPr>
              <w:t>项目定员：项目建成投产后，计划劳动定员10名。项目实行1班工作制度，每班8小时，年工作天数300天。</w:t>
            </w:r>
          </w:p>
          <w:p>
            <w:pPr>
              <w:spacing w:line="360" w:lineRule="auto"/>
              <w:ind w:firstLine="482" w:firstLineChars="200"/>
              <w:rPr>
                <w:b/>
                <w:color w:val="auto"/>
                <w:sz w:val="24"/>
              </w:rPr>
            </w:pPr>
            <w:r>
              <w:rPr>
                <w:b/>
                <w:color w:val="auto"/>
                <w:sz w:val="24"/>
              </w:rPr>
              <w:t>8、项目四</w:t>
            </w:r>
            <w:r>
              <w:rPr>
                <w:rFonts w:hint="eastAsia"/>
                <w:b/>
                <w:color w:val="auto"/>
                <w:sz w:val="24"/>
              </w:rPr>
              <w:t>周</w:t>
            </w:r>
            <w:r>
              <w:rPr>
                <w:b/>
                <w:color w:val="auto"/>
                <w:sz w:val="24"/>
              </w:rPr>
              <w:t>情况</w:t>
            </w:r>
          </w:p>
          <w:p>
            <w:pPr>
              <w:spacing w:line="360" w:lineRule="auto"/>
              <w:ind w:firstLine="480" w:firstLineChars="200"/>
              <w:rPr>
                <w:color w:val="auto"/>
                <w:sz w:val="24"/>
              </w:rPr>
            </w:pPr>
            <w:r>
              <w:rPr>
                <w:color w:val="auto"/>
                <w:sz w:val="24"/>
              </w:rPr>
              <w:t>本项目位于云南省大理白族自治州云龙县白石镇中和村，租用已停产的云龙县白石镇中和实业有限责任公司电解锌厂部分闲置厂区，建设项目西侧为已停产的云龙县白石镇中和实业有限责任公司电解锌厂生产车间闲置场地，南面、北侧为林地，东侧为G215，交通便利。</w:t>
            </w:r>
          </w:p>
          <w:p>
            <w:pPr>
              <w:spacing w:line="360" w:lineRule="auto"/>
              <w:ind w:firstLine="482" w:firstLineChars="200"/>
              <w:rPr>
                <w:b/>
                <w:color w:val="auto"/>
                <w:sz w:val="24"/>
              </w:rPr>
            </w:pPr>
            <w:r>
              <w:rPr>
                <w:b/>
                <w:color w:val="auto"/>
                <w:sz w:val="24"/>
              </w:rPr>
              <w:t>9、用地情况</w:t>
            </w:r>
          </w:p>
          <w:p>
            <w:pPr>
              <w:spacing w:line="360" w:lineRule="auto"/>
              <w:ind w:firstLine="480" w:firstLineChars="200"/>
              <w:rPr>
                <w:color w:val="auto"/>
                <w:sz w:val="24"/>
              </w:rPr>
            </w:pPr>
            <w:r>
              <w:rPr>
                <w:color w:val="auto"/>
                <w:sz w:val="24"/>
              </w:rPr>
              <w:t>项目用地为云龙县白石镇中和实业有限责任公司电解锌厂闲置场地，场地现为空地，场地上原有建筑已拆除，仅留部分生活建筑，用地为工业用地，场地租用协议书及工业用地证明见附件4、5。</w:t>
            </w:r>
          </w:p>
          <w:p>
            <w:pPr>
              <w:spacing w:line="360" w:lineRule="auto"/>
              <w:ind w:firstLine="482" w:firstLineChars="200"/>
              <w:rPr>
                <w:b/>
                <w:color w:val="auto"/>
                <w:sz w:val="24"/>
              </w:rPr>
            </w:pPr>
            <w:r>
              <w:rPr>
                <w:b/>
                <w:color w:val="auto"/>
                <w:sz w:val="24"/>
              </w:rPr>
              <w:t>10、施工总进度</w:t>
            </w:r>
          </w:p>
          <w:p>
            <w:pPr>
              <w:spacing w:line="360" w:lineRule="auto"/>
              <w:ind w:firstLine="480" w:firstLineChars="200"/>
              <w:rPr>
                <w:color w:val="auto"/>
                <w:sz w:val="24"/>
              </w:rPr>
            </w:pPr>
            <w:r>
              <w:rPr>
                <w:color w:val="auto"/>
                <w:sz w:val="24"/>
              </w:rPr>
              <w:t>施工准备期计划30天，预计在202</w:t>
            </w:r>
            <w:r>
              <w:rPr>
                <w:rFonts w:hint="eastAsia"/>
                <w:color w:val="auto"/>
                <w:sz w:val="24"/>
                <w:lang w:val="en-US" w:eastAsia="zh-CN"/>
              </w:rPr>
              <w:t>2</w:t>
            </w:r>
            <w:r>
              <w:rPr>
                <w:color w:val="auto"/>
                <w:sz w:val="24"/>
              </w:rPr>
              <w:t>年</w:t>
            </w:r>
            <w:r>
              <w:rPr>
                <w:rFonts w:hint="eastAsia"/>
                <w:color w:val="auto"/>
                <w:sz w:val="24"/>
                <w:lang w:val="en-US" w:eastAsia="zh-CN"/>
              </w:rPr>
              <w:t>1</w:t>
            </w:r>
            <w:r>
              <w:rPr>
                <w:color w:val="auto"/>
                <w:sz w:val="24"/>
              </w:rPr>
              <w:t>月正式开工，202</w:t>
            </w:r>
            <w:r>
              <w:rPr>
                <w:rFonts w:hint="eastAsia"/>
                <w:color w:val="auto"/>
                <w:sz w:val="24"/>
                <w:lang w:val="en-US" w:eastAsia="zh-CN"/>
              </w:rPr>
              <w:t>2</w:t>
            </w:r>
            <w:r>
              <w:rPr>
                <w:color w:val="auto"/>
                <w:sz w:val="24"/>
              </w:rPr>
              <w:t>年2月建成投产。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2" w:hRule="atLeast"/>
          <w:jc w:val="center"/>
        </w:trPr>
        <w:tc>
          <w:tcPr>
            <w:tcW w:w="709" w:type="dxa"/>
            <w:vAlign w:val="center"/>
          </w:tcPr>
          <w:p>
            <w:pPr>
              <w:pStyle w:val="22"/>
              <w:adjustRightInd w:val="0"/>
              <w:snapToGrid w:val="0"/>
              <w:spacing w:before="0" w:beforeAutospacing="0" w:after="0" w:afterAutospacing="0"/>
              <w:jc w:val="center"/>
              <w:rPr>
                <w:rFonts w:ascii="Times New Roman" w:hAnsi="Times New Roman"/>
                <w:szCs w:val="24"/>
              </w:rPr>
            </w:pPr>
            <w:r>
              <w:rPr>
                <w:rFonts w:ascii="Times New Roman" w:hAnsi="Times New Roman"/>
                <w:szCs w:val="24"/>
              </w:rPr>
              <w:t>工艺流程和产排污环节</w:t>
            </w:r>
          </w:p>
        </w:tc>
        <w:tc>
          <w:tcPr>
            <w:tcW w:w="8749" w:type="dxa"/>
          </w:tcPr>
          <w:p>
            <w:pPr>
              <w:pStyle w:val="8"/>
              <w:spacing w:before="0" w:line="360" w:lineRule="auto"/>
              <w:ind w:firstLine="482"/>
              <w:rPr>
                <w:rFonts w:eastAsia="宋体"/>
                <w:bCs w:val="0"/>
                <w:color w:val="auto"/>
                <w:sz w:val="24"/>
                <w:szCs w:val="24"/>
              </w:rPr>
            </w:pPr>
            <w:bookmarkStart w:id="4" w:name="_Toc5033"/>
            <w:bookmarkStart w:id="5" w:name="_Toc11502"/>
            <w:r>
              <w:rPr>
                <w:rFonts w:eastAsia="宋体"/>
                <w:bCs w:val="0"/>
                <w:color w:val="auto"/>
                <w:sz w:val="24"/>
                <w:szCs w:val="24"/>
              </w:rPr>
              <w:t>2.2.1、施工期工艺流程及污染物产排情况</w:t>
            </w:r>
          </w:p>
          <w:p>
            <w:pPr>
              <w:pStyle w:val="80"/>
            </w:pPr>
            <w:r>
              <w:t>本项目为新建项目，选址位于大理白族自治州云龙县白石镇中和村，项目施工期间，基础工程、主体工程、装饰工程和设备安装等建设工序将产生施工噪声、扬尘、固体废弃物、污水和废气等污染物，其排放量随施工阶段和施工强度不同而有所变化，施工期具体的工艺流程及产污环节见下图2-1。</w:t>
            </w:r>
          </w:p>
          <w:p>
            <w:pPr>
              <w:pStyle w:val="75"/>
              <w:spacing w:before="24" w:after="24"/>
            </w:pPr>
            <w:r>
              <w:drawing>
                <wp:inline distT="0" distB="0" distL="0" distR="0">
                  <wp:extent cx="4800600" cy="2110740"/>
                  <wp:effectExtent l="0" t="0" r="0" b="3810"/>
                  <wp:docPr id="18" name="图片 9" descr="【免费】常用顺序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9" descr="【免费】常用顺序流程图"/>
                          <pic:cNvPicPr>
                            <a:picLocks noChangeAspect="1" noChangeArrowheads="1"/>
                          </pic:cNvPicPr>
                        </pic:nvPicPr>
                        <pic:blipFill>
                          <a:blip r:embed="rId10">
                            <a:extLst>
                              <a:ext uri="{28A0092B-C50C-407E-A947-70E740481C1C}">
                                <a14:useLocalDpi xmlns:a14="http://schemas.microsoft.com/office/drawing/2010/main" val="0"/>
                              </a:ext>
                            </a:extLst>
                          </a:blip>
                          <a:srcRect r="2565" b="8011"/>
                          <a:stretch>
                            <a:fillRect/>
                          </a:stretch>
                        </pic:blipFill>
                        <pic:spPr>
                          <a:xfrm>
                            <a:off x="0" y="0"/>
                            <a:ext cx="4805854" cy="2113149"/>
                          </a:xfrm>
                          <a:prstGeom prst="rect">
                            <a:avLst/>
                          </a:prstGeom>
                          <a:noFill/>
                          <a:ln>
                            <a:noFill/>
                          </a:ln>
                        </pic:spPr>
                      </pic:pic>
                    </a:graphicData>
                  </a:graphic>
                </wp:inline>
              </w:drawing>
            </w:r>
          </w:p>
          <w:p>
            <w:pPr>
              <w:pStyle w:val="71"/>
              <w:rPr>
                <w:rFonts w:cs="Times New Roman"/>
              </w:rPr>
            </w:pPr>
            <w:r>
              <w:rPr>
                <w:rFonts w:cs="Times New Roman"/>
              </w:rPr>
              <w:t>图2-1    施工期工艺流程图</w:t>
            </w:r>
          </w:p>
          <w:p>
            <w:pPr>
              <w:pStyle w:val="80"/>
            </w:pPr>
            <w:r>
              <w:t>项目在施工期间，主要污染源是设备安装产生的噪声、设备及运输车辆排放的尾气、扬尘和施工人员产生的生活污水和生活垃圾等，工程量较小。</w:t>
            </w:r>
          </w:p>
          <w:p>
            <w:pPr>
              <w:pStyle w:val="80"/>
            </w:pPr>
            <w:r>
              <w:t>1、废气</w:t>
            </w:r>
          </w:p>
          <w:p>
            <w:pPr>
              <w:pStyle w:val="80"/>
            </w:pPr>
            <w:r>
              <w:t>项目施工期间大气污染物主要有建筑材料运输、装卸，基础开挖过程土石挖掘、堆放等产生的扬尘、机械设备产生的燃油废气、材料拌合产生的扬尘、运输车辆产生的汽车尾气以及装修油漆废气等。</w:t>
            </w:r>
          </w:p>
          <w:p>
            <w:pPr>
              <w:pStyle w:val="80"/>
            </w:pPr>
            <w:r>
              <w:t>2、废水</w:t>
            </w:r>
          </w:p>
          <w:p>
            <w:pPr>
              <w:pStyle w:val="80"/>
            </w:pPr>
            <w:r>
              <w:t>本项目土建工程量较小，项目施工期废水主要来源于施工场地和设备冲洗废水以及施工人员生活废水。</w:t>
            </w:r>
          </w:p>
          <w:p>
            <w:pPr>
              <w:pStyle w:val="80"/>
            </w:pPr>
            <w:r>
              <w:t>3、噪声</w:t>
            </w:r>
          </w:p>
          <w:p>
            <w:pPr>
              <w:pStyle w:val="80"/>
            </w:pPr>
            <w:r>
              <w:t>项目施工期噪声主要是装修过程中各种装修及设备调试产生的装修噪声。</w:t>
            </w:r>
          </w:p>
          <w:p>
            <w:pPr>
              <w:pStyle w:val="80"/>
            </w:pPr>
            <w:r>
              <w:t>4、固体废弃物</w:t>
            </w:r>
          </w:p>
          <w:p>
            <w:pPr>
              <w:pStyle w:val="80"/>
            </w:pPr>
            <w:r>
              <w:rPr>
                <w:rFonts w:hint="eastAsia" w:ascii="宋体" w:hAnsi="宋体" w:cs="宋体"/>
              </w:rPr>
              <w:t>①</w:t>
            </w:r>
            <w:r>
              <w:t>土石方</w:t>
            </w:r>
          </w:p>
          <w:p>
            <w:pPr>
              <w:pStyle w:val="80"/>
            </w:pPr>
            <w:r>
              <w:t>基建施工初期，须对基地进行开挖。施工时会产生少量土石方，通过回填和用作绿化用土后，可实现土石方就地平衡，无需外运处置。</w:t>
            </w:r>
          </w:p>
          <w:p>
            <w:pPr>
              <w:pStyle w:val="80"/>
            </w:pPr>
            <w:r>
              <w:rPr>
                <w:rFonts w:hint="eastAsia" w:ascii="宋体" w:hAnsi="宋体" w:cs="宋体"/>
              </w:rPr>
              <w:t>②</w:t>
            </w:r>
            <w:r>
              <w:t>建筑废弃物</w:t>
            </w:r>
          </w:p>
          <w:p>
            <w:pPr>
              <w:pStyle w:val="80"/>
            </w:pPr>
            <w:r>
              <w:t>施工生产的废料首先必须考虑废料的回收利用，一般情况下建筑材料废弃物有废弃钢材、木材等，其损耗量约占使用量的5~8%，且大多可回收，不会出现丢弃现象；对钢筋、钢板、木材等下角料可分类回收，交废物收购站处理；对建筑垃圾，如混凝土废料、含砖、石、砂的杂土应集中堆放，定时清运，送当地管理部门指定的建筑垃圾专用堆放场，以免影响施工和环境卫生。另外施工结束后场地清理过程中收集的各类建筑垃圾应集中外运地方指定建筑垃圾消纳场，项目建设完成后，施工单位应在三十日内将建筑垃圾全部清除。</w:t>
            </w:r>
          </w:p>
          <w:p>
            <w:pPr>
              <w:pStyle w:val="80"/>
            </w:pPr>
            <w:r>
              <w:rPr>
                <w:rFonts w:hint="eastAsia" w:ascii="宋体" w:hAnsi="宋体" w:cs="宋体"/>
              </w:rPr>
              <w:t>③</w:t>
            </w:r>
            <w:r>
              <w:t>生活垃圾</w:t>
            </w:r>
          </w:p>
          <w:p>
            <w:pPr>
              <w:pStyle w:val="80"/>
            </w:pPr>
            <w:r>
              <w:t>本项目施工高峰期施工人员按10人计，生活垃圾按0.25kg/人d计，则日产生量约2.5kg/d，经袋装收集后由环卫部门统一清运送往城市垃圾处理场进行处置，不可就地填埋，以避免影响项目周边环境。</w:t>
            </w:r>
          </w:p>
          <w:p>
            <w:pPr>
              <w:pStyle w:val="80"/>
            </w:pPr>
            <w:r>
              <w:t>5.生态环境</w:t>
            </w:r>
          </w:p>
          <w:p>
            <w:pPr>
              <w:pStyle w:val="80"/>
            </w:pPr>
            <w:r>
              <w:t>施工期占地、挖土石方、水土流失等可能对生态环境产生有限影响，但项目挖土量少，土石方回填，少量用于绿化整地，少量建筑垃圾分运至建设、规划部门指定的堆放点堆放，并对堆放点进行遮盖或临时绿化。运输线路按有关部门规定路线行驶。对生态环境不会产生明显影响。</w:t>
            </w:r>
          </w:p>
          <w:p>
            <w:pPr>
              <w:pStyle w:val="8"/>
              <w:spacing w:before="0" w:line="360" w:lineRule="auto"/>
              <w:ind w:firstLine="482"/>
              <w:rPr>
                <w:rFonts w:eastAsia="宋体"/>
                <w:bCs w:val="0"/>
                <w:color w:val="auto"/>
                <w:sz w:val="24"/>
                <w:szCs w:val="24"/>
              </w:rPr>
            </w:pPr>
            <w:r>
              <w:rPr>
                <w:rFonts w:eastAsia="宋体"/>
                <w:bCs w:val="0"/>
                <w:color w:val="auto"/>
                <w:sz w:val="24"/>
                <w:szCs w:val="24"/>
              </w:rPr>
              <w:t>2.2.2、工艺流程简述</w:t>
            </w:r>
            <w:bookmarkEnd w:id="4"/>
            <w:bookmarkEnd w:id="5"/>
          </w:p>
          <w:p>
            <w:pPr>
              <w:pStyle w:val="80"/>
            </w:pPr>
            <w:bookmarkStart w:id="6" w:name="_Toc9516"/>
            <w:bookmarkStart w:id="7" w:name="_Toc32216"/>
            <w:r>
              <w:t>本项目运营期以矿山加工后的边角余料、产品为原材料，经破碎、筛分后即得到产品。</w:t>
            </w:r>
          </w:p>
          <w:p>
            <w:pPr>
              <w:pStyle w:val="80"/>
            </w:pPr>
            <w:r>
              <w:t>工艺说明：</w:t>
            </w:r>
          </w:p>
          <w:p>
            <w:pPr>
              <w:pStyle w:val="80"/>
            </w:pPr>
            <w:r>
              <w:t>（1）进料</w:t>
            </w:r>
          </w:p>
          <w:p>
            <w:pPr>
              <w:pStyle w:val="80"/>
            </w:pPr>
            <w:r>
              <w:t>来源于原兰坪非金属矿山的边角余料或产品，用装载车运输至厂区，储存至厂区原料堆放区。将原料堆场通过防尘网覆盖、喷雾等措施抑尘，并设置彩钢棚进行全封闭。</w:t>
            </w:r>
          </w:p>
          <w:p>
            <w:pPr>
              <w:pStyle w:val="80"/>
            </w:pPr>
            <w:r>
              <w:t>（2）破碎、筛分及运输</w:t>
            </w:r>
          </w:p>
          <w:p>
            <w:pPr>
              <w:pStyle w:val="80"/>
            </w:pPr>
            <w:r>
              <w:t>碎石生产线生产时，首先将大块石料由给料机输送进颚式破碎机进行粗碎，粗碎后的物料由皮带输送带输送至打砂机进行细碎，细碎后的物料输送至振动筛进行筛分。对于符合粒度要求的碎石和机制砂由皮带输送带输送至成品堆场，不符合粒度要求的碎石输送至破碎机或打砂机进行再次破碎。</w:t>
            </w:r>
          </w:p>
          <w:p>
            <w:pPr>
              <w:pStyle w:val="80"/>
            </w:pPr>
            <w:r>
              <w:t>（3）湿法作业</w:t>
            </w:r>
          </w:p>
          <w:p>
            <w:pPr>
              <w:pStyle w:val="24"/>
              <w:spacing w:after="0" w:line="360" w:lineRule="auto"/>
              <w:ind w:left="0" w:leftChars="0" w:firstLine="480"/>
              <w:rPr>
                <w:bCs/>
                <w:szCs w:val="24"/>
              </w:rPr>
            </w:pPr>
            <w:r>
              <w:t>进料口、破碎机、打砂机、3条输送带等产尘部位分别设置压力喷头连接水管进行喷雾抑尘，并在原料堆放区、成品堆放区设置移动式喷雾炮进行抑尘。该装置不是喷淋装置，没有废水产生，用水均进入产品或损耗。</w:t>
            </w:r>
          </w:p>
          <w:p>
            <w:pPr>
              <w:pStyle w:val="75"/>
              <w:spacing w:before="24" w:after="24"/>
              <w:rPr>
                <w:u w:val="single"/>
              </w:rPr>
            </w:pPr>
            <w:r>
              <w:rPr>
                <w:u w:val="single"/>
              </w:rPr>
              <w:object>
                <v:shape id="_x0000_i1026" o:spt="75" type="#_x0000_t75" style="height:276pt;width:246pt;" o:ole="t" filled="f" o:preferrelative="t" stroked="f" coordsize="21600,21600">
                  <v:path/>
                  <v:fill on="f" focussize="0,0"/>
                  <v:stroke on="f"/>
                  <v:imagedata r:id="rId11" cropbottom="425f" o:title=""/>
                  <o:lock v:ext="edit" aspectratio="t"/>
                  <w10:wrap type="none"/>
                  <w10:anchorlock/>
                </v:shape>
                <o:OLEObject Type="Embed" ProgID="Visio.Drawing.15" ShapeID="_x0000_i1026" DrawAspect="Content" ObjectID="_1468075726">
                  <o:LockedField>false</o:LockedField>
                </o:OLEObject>
              </w:object>
            </w:r>
          </w:p>
          <w:p>
            <w:pPr>
              <w:spacing w:line="360" w:lineRule="auto"/>
              <w:jc w:val="center"/>
              <w:rPr>
                <w:b/>
                <w:bCs/>
                <w:u w:val="none"/>
              </w:rPr>
            </w:pPr>
            <w:r>
              <w:rPr>
                <w:b/>
                <w:bCs/>
                <w:szCs w:val="20"/>
                <w:u w:val="none"/>
              </w:rPr>
              <w:t>图2-2   项目运营期工艺流程及产污节点图</w:t>
            </w:r>
          </w:p>
          <w:bookmarkEnd w:id="6"/>
          <w:bookmarkEnd w:id="7"/>
          <w:p>
            <w:pPr>
              <w:pStyle w:val="8"/>
              <w:spacing w:before="0" w:line="360" w:lineRule="auto"/>
              <w:ind w:firstLine="482"/>
              <w:rPr>
                <w:rFonts w:eastAsia="宋体"/>
                <w:bCs w:val="0"/>
                <w:color w:val="auto"/>
                <w:sz w:val="24"/>
                <w:szCs w:val="24"/>
              </w:rPr>
            </w:pPr>
            <w:r>
              <w:rPr>
                <w:rFonts w:eastAsia="宋体"/>
                <w:bCs w:val="0"/>
                <w:color w:val="auto"/>
                <w:sz w:val="24"/>
                <w:szCs w:val="24"/>
              </w:rPr>
              <w:t>2.2.3、营运期污染工序</w:t>
            </w:r>
          </w:p>
          <w:p>
            <w:pPr>
              <w:pStyle w:val="80"/>
            </w:pPr>
            <w:r>
              <w:t>本项目营运期产生的污染主要是在生产过程中产生的粉尘、噪声，以及员工的生活污水、生活垃圾。营运期主要产污环节详见表2-1。</w:t>
            </w:r>
          </w:p>
          <w:p>
            <w:pPr>
              <w:pStyle w:val="71"/>
              <w:rPr>
                <w:rFonts w:cs="Times New Roman"/>
              </w:rPr>
            </w:pPr>
            <w:r>
              <w:rPr>
                <w:rFonts w:cs="Times New Roman"/>
              </w:rPr>
              <w:t>表2-1    本项目运营期主要产污环节</w:t>
            </w:r>
          </w:p>
          <w:tbl>
            <w:tblPr>
              <w:tblStyle w:val="25"/>
              <w:tblW w:w="85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1"/>
              <w:gridCol w:w="2585"/>
              <w:gridCol w:w="2319"/>
              <w:gridCol w:w="2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1" w:type="dxa"/>
                  <w:shd w:val="clear" w:color="auto" w:fill="auto"/>
                  <w:vAlign w:val="center"/>
                </w:tcPr>
                <w:p>
                  <w:pPr>
                    <w:pStyle w:val="75"/>
                    <w:spacing w:before="24" w:after="24"/>
                  </w:pPr>
                  <w:r>
                    <w:t>污染物种类</w:t>
                  </w:r>
                </w:p>
              </w:tc>
              <w:tc>
                <w:tcPr>
                  <w:tcW w:w="2585" w:type="dxa"/>
                  <w:shd w:val="clear" w:color="auto" w:fill="auto"/>
                  <w:vAlign w:val="center"/>
                </w:tcPr>
                <w:p>
                  <w:pPr>
                    <w:pStyle w:val="75"/>
                    <w:spacing w:before="24" w:after="24"/>
                  </w:pPr>
                  <w:r>
                    <w:t>名称</w:t>
                  </w:r>
                </w:p>
              </w:tc>
              <w:tc>
                <w:tcPr>
                  <w:tcW w:w="2319" w:type="dxa"/>
                  <w:shd w:val="clear" w:color="auto" w:fill="auto"/>
                  <w:vAlign w:val="center"/>
                </w:tcPr>
                <w:p>
                  <w:pPr>
                    <w:pStyle w:val="75"/>
                    <w:spacing w:before="24" w:after="24"/>
                  </w:pPr>
                  <w:r>
                    <w:t>污染因子</w:t>
                  </w:r>
                </w:p>
              </w:tc>
              <w:tc>
                <w:tcPr>
                  <w:tcW w:w="2068" w:type="dxa"/>
                  <w:shd w:val="clear" w:color="auto" w:fill="auto"/>
                  <w:vAlign w:val="center"/>
                </w:tcPr>
                <w:p>
                  <w:pPr>
                    <w:pStyle w:val="75"/>
                    <w:spacing w:before="24" w:after="24"/>
                  </w:pPr>
                  <w:r>
                    <w:t>产污环节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1" w:type="dxa"/>
                  <w:shd w:val="clear" w:color="auto" w:fill="auto"/>
                  <w:vAlign w:val="center"/>
                </w:tcPr>
                <w:p>
                  <w:pPr>
                    <w:pStyle w:val="75"/>
                    <w:spacing w:before="24" w:after="24"/>
                  </w:pPr>
                  <w:r>
                    <w:t>废水</w:t>
                  </w:r>
                </w:p>
              </w:tc>
              <w:tc>
                <w:tcPr>
                  <w:tcW w:w="2585" w:type="dxa"/>
                  <w:shd w:val="clear" w:color="auto" w:fill="auto"/>
                  <w:vAlign w:val="center"/>
                </w:tcPr>
                <w:p>
                  <w:pPr>
                    <w:pStyle w:val="75"/>
                    <w:spacing w:before="24" w:after="24"/>
                  </w:pPr>
                  <w:r>
                    <w:t>生活污水</w:t>
                  </w:r>
                </w:p>
              </w:tc>
              <w:tc>
                <w:tcPr>
                  <w:tcW w:w="2319" w:type="dxa"/>
                  <w:shd w:val="clear" w:color="auto" w:fill="auto"/>
                  <w:vAlign w:val="center"/>
                </w:tcPr>
                <w:p>
                  <w:pPr>
                    <w:pStyle w:val="75"/>
                    <w:spacing w:before="24" w:after="24"/>
                  </w:pPr>
                  <w:r>
                    <w:t>CODcr、NH</w:t>
                  </w:r>
                  <w:r>
                    <w:rPr>
                      <w:vertAlign w:val="subscript"/>
                    </w:rPr>
                    <w:t>3</w:t>
                  </w:r>
                  <w:r>
                    <w:t>-N、SS、BOD、动植物油等</w:t>
                  </w:r>
                </w:p>
              </w:tc>
              <w:tc>
                <w:tcPr>
                  <w:tcW w:w="2068" w:type="dxa"/>
                  <w:shd w:val="clear" w:color="auto" w:fill="auto"/>
                  <w:vAlign w:val="center"/>
                </w:tcPr>
                <w:p>
                  <w:pPr>
                    <w:pStyle w:val="75"/>
                    <w:spacing w:before="24" w:after="24"/>
                  </w:pPr>
                  <w:r>
                    <w:t>日常生活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1" w:type="dxa"/>
                  <w:vMerge w:val="restart"/>
                  <w:shd w:val="clear" w:color="auto" w:fill="auto"/>
                  <w:vAlign w:val="center"/>
                </w:tcPr>
                <w:p>
                  <w:pPr>
                    <w:pStyle w:val="75"/>
                    <w:spacing w:before="24" w:after="24"/>
                  </w:pPr>
                  <w:r>
                    <w:t>废气</w:t>
                  </w:r>
                </w:p>
              </w:tc>
              <w:tc>
                <w:tcPr>
                  <w:tcW w:w="2585" w:type="dxa"/>
                  <w:shd w:val="clear" w:color="auto" w:fill="auto"/>
                  <w:vAlign w:val="center"/>
                </w:tcPr>
                <w:p>
                  <w:pPr>
                    <w:pStyle w:val="75"/>
                    <w:spacing w:before="24" w:after="24"/>
                  </w:pPr>
                  <w:r>
                    <w:t>破碎、筛分粉尘</w:t>
                  </w:r>
                </w:p>
              </w:tc>
              <w:tc>
                <w:tcPr>
                  <w:tcW w:w="2319" w:type="dxa"/>
                  <w:shd w:val="clear" w:color="auto" w:fill="auto"/>
                  <w:vAlign w:val="center"/>
                </w:tcPr>
                <w:p>
                  <w:pPr>
                    <w:pStyle w:val="75"/>
                    <w:spacing w:before="24" w:after="24"/>
                  </w:pPr>
                  <w:r>
                    <w:t>颗粒物</w:t>
                  </w:r>
                </w:p>
              </w:tc>
              <w:tc>
                <w:tcPr>
                  <w:tcW w:w="2068" w:type="dxa"/>
                  <w:shd w:val="clear" w:color="auto" w:fill="auto"/>
                  <w:vAlign w:val="center"/>
                </w:tcPr>
                <w:p>
                  <w:pPr>
                    <w:pStyle w:val="75"/>
                    <w:spacing w:before="24" w:after="24"/>
                  </w:pPr>
                  <w:r>
                    <w:t>破碎、筛分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1" w:type="dxa"/>
                  <w:vMerge w:val="continue"/>
                  <w:shd w:val="clear" w:color="auto" w:fill="auto"/>
                  <w:vAlign w:val="center"/>
                </w:tcPr>
                <w:p>
                  <w:pPr>
                    <w:pStyle w:val="75"/>
                    <w:spacing w:before="24" w:after="24"/>
                  </w:pPr>
                </w:p>
              </w:tc>
              <w:tc>
                <w:tcPr>
                  <w:tcW w:w="2585" w:type="dxa"/>
                  <w:shd w:val="clear" w:color="auto" w:fill="auto"/>
                  <w:vAlign w:val="center"/>
                </w:tcPr>
                <w:p>
                  <w:pPr>
                    <w:pStyle w:val="75"/>
                    <w:spacing w:before="24" w:after="24"/>
                  </w:pPr>
                  <w:r>
                    <w:t>装卸粉尘</w:t>
                  </w:r>
                </w:p>
              </w:tc>
              <w:tc>
                <w:tcPr>
                  <w:tcW w:w="2319" w:type="dxa"/>
                  <w:shd w:val="clear" w:color="auto" w:fill="auto"/>
                  <w:vAlign w:val="center"/>
                </w:tcPr>
                <w:p>
                  <w:pPr>
                    <w:pStyle w:val="75"/>
                    <w:spacing w:before="24" w:after="24"/>
                  </w:pPr>
                  <w:r>
                    <w:t>颗粒物</w:t>
                  </w:r>
                </w:p>
              </w:tc>
              <w:tc>
                <w:tcPr>
                  <w:tcW w:w="2068" w:type="dxa"/>
                  <w:shd w:val="clear" w:color="auto" w:fill="auto"/>
                  <w:vAlign w:val="center"/>
                </w:tcPr>
                <w:p>
                  <w:pPr>
                    <w:pStyle w:val="75"/>
                    <w:spacing w:before="24" w:after="24"/>
                  </w:pPr>
                  <w:r>
                    <w:t>原料、产品装卸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1" w:type="dxa"/>
                  <w:vMerge w:val="continue"/>
                  <w:shd w:val="clear" w:color="auto" w:fill="auto"/>
                  <w:vAlign w:val="center"/>
                </w:tcPr>
                <w:p>
                  <w:pPr>
                    <w:pStyle w:val="75"/>
                    <w:spacing w:before="24" w:after="24"/>
                  </w:pPr>
                </w:p>
              </w:tc>
              <w:tc>
                <w:tcPr>
                  <w:tcW w:w="2585" w:type="dxa"/>
                  <w:shd w:val="clear" w:color="auto" w:fill="auto"/>
                  <w:vAlign w:val="center"/>
                </w:tcPr>
                <w:p>
                  <w:pPr>
                    <w:pStyle w:val="75"/>
                    <w:spacing w:before="24" w:after="24"/>
                  </w:pPr>
                  <w:r>
                    <w:t>堆场粉尘</w:t>
                  </w:r>
                </w:p>
              </w:tc>
              <w:tc>
                <w:tcPr>
                  <w:tcW w:w="2319" w:type="dxa"/>
                  <w:shd w:val="clear" w:color="auto" w:fill="auto"/>
                  <w:vAlign w:val="center"/>
                </w:tcPr>
                <w:p>
                  <w:pPr>
                    <w:pStyle w:val="75"/>
                    <w:spacing w:before="24" w:after="24"/>
                  </w:pPr>
                  <w:r>
                    <w:t>颗粒物</w:t>
                  </w:r>
                </w:p>
              </w:tc>
              <w:tc>
                <w:tcPr>
                  <w:tcW w:w="2068" w:type="dxa"/>
                  <w:shd w:val="clear" w:color="auto" w:fill="auto"/>
                  <w:vAlign w:val="center"/>
                </w:tcPr>
                <w:p>
                  <w:pPr>
                    <w:pStyle w:val="75"/>
                    <w:spacing w:before="24" w:after="24"/>
                  </w:pPr>
                  <w:r>
                    <w:t>原料、成品场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1" w:type="dxa"/>
                  <w:vMerge w:val="continue"/>
                  <w:shd w:val="clear" w:color="auto" w:fill="auto"/>
                  <w:vAlign w:val="center"/>
                </w:tcPr>
                <w:p>
                  <w:pPr>
                    <w:pStyle w:val="75"/>
                    <w:spacing w:before="24" w:after="24"/>
                  </w:pPr>
                </w:p>
              </w:tc>
              <w:tc>
                <w:tcPr>
                  <w:tcW w:w="2585" w:type="dxa"/>
                  <w:shd w:val="clear" w:color="auto" w:fill="auto"/>
                  <w:vAlign w:val="center"/>
                </w:tcPr>
                <w:p>
                  <w:pPr>
                    <w:pStyle w:val="75"/>
                    <w:spacing w:before="24" w:after="24"/>
                  </w:pPr>
                  <w:r>
                    <w:t>道路扬尘</w:t>
                  </w:r>
                </w:p>
              </w:tc>
              <w:tc>
                <w:tcPr>
                  <w:tcW w:w="2319" w:type="dxa"/>
                  <w:shd w:val="clear" w:color="auto" w:fill="auto"/>
                  <w:vAlign w:val="center"/>
                </w:tcPr>
                <w:p>
                  <w:pPr>
                    <w:pStyle w:val="75"/>
                    <w:spacing w:before="24" w:after="24"/>
                  </w:pPr>
                  <w:r>
                    <w:t>颗粒物</w:t>
                  </w:r>
                </w:p>
              </w:tc>
              <w:tc>
                <w:tcPr>
                  <w:tcW w:w="2068" w:type="dxa"/>
                  <w:shd w:val="clear" w:color="auto" w:fill="auto"/>
                  <w:vAlign w:val="center"/>
                </w:tcPr>
                <w:p>
                  <w:pPr>
                    <w:pStyle w:val="75"/>
                    <w:spacing w:before="24" w:after="24"/>
                  </w:pPr>
                  <w:r>
                    <w:t>车辆运输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1" w:type="dxa"/>
                  <w:vMerge w:val="continue"/>
                  <w:shd w:val="clear" w:color="auto" w:fill="auto"/>
                  <w:vAlign w:val="center"/>
                </w:tcPr>
                <w:p>
                  <w:pPr>
                    <w:pStyle w:val="75"/>
                    <w:spacing w:before="24" w:after="24"/>
                  </w:pPr>
                </w:p>
              </w:tc>
              <w:tc>
                <w:tcPr>
                  <w:tcW w:w="2585" w:type="dxa"/>
                  <w:shd w:val="clear" w:color="auto" w:fill="auto"/>
                  <w:vAlign w:val="center"/>
                </w:tcPr>
                <w:p>
                  <w:pPr>
                    <w:pStyle w:val="75"/>
                    <w:spacing w:before="24" w:after="24"/>
                  </w:pPr>
                  <w:r>
                    <w:t>汽车尾气</w:t>
                  </w:r>
                </w:p>
              </w:tc>
              <w:tc>
                <w:tcPr>
                  <w:tcW w:w="2319" w:type="dxa"/>
                  <w:shd w:val="clear" w:color="auto" w:fill="auto"/>
                  <w:vAlign w:val="center"/>
                </w:tcPr>
                <w:p>
                  <w:pPr>
                    <w:pStyle w:val="75"/>
                    <w:spacing w:before="24" w:after="24"/>
                  </w:pPr>
                  <w:r>
                    <w:t>CO</w:t>
                  </w:r>
                  <w:r>
                    <w:rPr>
                      <w:vertAlign w:val="subscript"/>
                    </w:rPr>
                    <w:t>2</w:t>
                  </w:r>
                  <w:r>
                    <w:t>、NOx、THC</w:t>
                  </w:r>
                </w:p>
              </w:tc>
              <w:tc>
                <w:tcPr>
                  <w:tcW w:w="2068" w:type="dxa"/>
                  <w:shd w:val="clear" w:color="auto" w:fill="auto"/>
                  <w:vAlign w:val="center"/>
                </w:tcPr>
                <w:p>
                  <w:pPr>
                    <w:pStyle w:val="75"/>
                    <w:spacing w:before="24" w:after="24"/>
                  </w:pPr>
                  <w:r>
                    <w:t>运输砂石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1" w:type="dxa"/>
                  <w:vMerge w:val="restart"/>
                  <w:shd w:val="clear" w:color="auto" w:fill="auto"/>
                  <w:vAlign w:val="center"/>
                </w:tcPr>
                <w:p>
                  <w:pPr>
                    <w:pStyle w:val="75"/>
                    <w:spacing w:before="24" w:after="24"/>
                  </w:pPr>
                  <w:r>
                    <w:t>固体废弃物</w:t>
                  </w:r>
                </w:p>
              </w:tc>
              <w:tc>
                <w:tcPr>
                  <w:tcW w:w="2585" w:type="dxa"/>
                  <w:shd w:val="clear" w:color="auto" w:fill="auto"/>
                  <w:vAlign w:val="center"/>
                </w:tcPr>
                <w:p>
                  <w:pPr>
                    <w:pStyle w:val="75"/>
                    <w:spacing w:before="24" w:after="24"/>
                  </w:pPr>
                  <w:r>
                    <w:t>初期雨水收集池污泥</w:t>
                  </w:r>
                </w:p>
              </w:tc>
              <w:tc>
                <w:tcPr>
                  <w:tcW w:w="2319" w:type="dxa"/>
                  <w:shd w:val="clear" w:color="auto" w:fill="auto"/>
                  <w:vAlign w:val="center"/>
                </w:tcPr>
                <w:p>
                  <w:pPr>
                    <w:pStyle w:val="75"/>
                    <w:spacing w:before="24" w:after="24"/>
                  </w:pPr>
                  <w:r>
                    <w:t>固体废物</w:t>
                  </w:r>
                </w:p>
              </w:tc>
              <w:tc>
                <w:tcPr>
                  <w:tcW w:w="2068" w:type="dxa"/>
                  <w:shd w:val="clear" w:color="auto" w:fill="auto"/>
                  <w:vAlign w:val="center"/>
                </w:tcPr>
                <w:p>
                  <w:pPr>
                    <w:pStyle w:val="75"/>
                    <w:spacing w:before="24" w:after="24"/>
                  </w:pPr>
                  <w:r>
                    <w:t>废水处理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1" w:type="dxa"/>
                  <w:vMerge w:val="continue"/>
                  <w:shd w:val="clear" w:color="auto" w:fill="auto"/>
                  <w:vAlign w:val="center"/>
                </w:tcPr>
                <w:p>
                  <w:pPr>
                    <w:pStyle w:val="75"/>
                    <w:spacing w:before="24" w:after="24"/>
                  </w:pPr>
                </w:p>
              </w:tc>
              <w:tc>
                <w:tcPr>
                  <w:tcW w:w="2585" w:type="dxa"/>
                  <w:shd w:val="clear" w:color="auto" w:fill="auto"/>
                  <w:vAlign w:val="center"/>
                </w:tcPr>
                <w:p>
                  <w:pPr>
                    <w:pStyle w:val="75"/>
                    <w:spacing w:before="24" w:after="24"/>
                  </w:pPr>
                  <w:r>
                    <w:t>生活垃圾</w:t>
                  </w:r>
                </w:p>
              </w:tc>
              <w:tc>
                <w:tcPr>
                  <w:tcW w:w="2319" w:type="dxa"/>
                  <w:shd w:val="clear" w:color="auto" w:fill="auto"/>
                  <w:vAlign w:val="center"/>
                </w:tcPr>
                <w:p>
                  <w:pPr>
                    <w:pStyle w:val="75"/>
                    <w:spacing w:before="24" w:after="24"/>
                  </w:pPr>
                  <w:r>
                    <w:t>固体垃圾</w:t>
                  </w:r>
                </w:p>
              </w:tc>
              <w:tc>
                <w:tcPr>
                  <w:tcW w:w="2068" w:type="dxa"/>
                  <w:shd w:val="clear" w:color="auto" w:fill="auto"/>
                  <w:vAlign w:val="center"/>
                </w:tcPr>
                <w:p>
                  <w:pPr>
                    <w:pStyle w:val="75"/>
                    <w:spacing w:before="24" w:after="24"/>
                  </w:pPr>
                  <w:r>
                    <w:t>日常生活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1" w:type="dxa"/>
                  <w:vMerge w:val="continue"/>
                  <w:shd w:val="clear" w:color="auto" w:fill="auto"/>
                  <w:vAlign w:val="center"/>
                </w:tcPr>
                <w:p>
                  <w:pPr>
                    <w:pStyle w:val="75"/>
                    <w:spacing w:before="24" w:after="24"/>
                  </w:pPr>
                </w:p>
              </w:tc>
              <w:tc>
                <w:tcPr>
                  <w:tcW w:w="2585" w:type="dxa"/>
                  <w:shd w:val="clear" w:color="auto" w:fill="auto"/>
                  <w:vAlign w:val="center"/>
                </w:tcPr>
                <w:p>
                  <w:pPr>
                    <w:pStyle w:val="75"/>
                    <w:spacing w:before="24" w:after="24"/>
                  </w:pPr>
                  <w:r>
                    <w:t>废润滑油、废机油</w:t>
                  </w:r>
                </w:p>
              </w:tc>
              <w:tc>
                <w:tcPr>
                  <w:tcW w:w="2319" w:type="dxa"/>
                  <w:shd w:val="clear" w:color="auto" w:fill="auto"/>
                  <w:vAlign w:val="center"/>
                </w:tcPr>
                <w:p>
                  <w:pPr>
                    <w:pStyle w:val="75"/>
                    <w:spacing w:before="24" w:after="24"/>
                  </w:pPr>
                  <w:r>
                    <w:t>危险废物</w:t>
                  </w:r>
                </w:p>
              </w:tc>
              <w:tc>
                <w:tcPr>
                  <w:tcW w:w="2068" w:type="dxa"/>
                  <w:shd w:val="clear" w:color="auto" w:fill="auto"/>
                  <w:vAlign w:val="center"/>
                </w:tcPr>
                <w:p>
                  <w:pPr>
                    <w:pStyle w:val="75"/>
                    <w:spacing w:before="24" w:after="24"/>
                  </w:pPr>
                  <w:r>
                    <w:t>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1" w:type="dxa"/>
                  <w:shd w:val="clear" w:color="auto" w:fill="auto"/>
                  <w:vAlign w:val="center"/>
                </w:tcPr>
                <w:p>
                  <w:pPr>
                    <w:pStyle w:val="75"/>
                    <w:spacing w:before="24" w:after="24"/>
                  </w:pPr>
                  <w:r>
                    <w:t>噪声</w:t>
                  </w:r>
                </w:p>
              </w:tc>
              <w:tc>
                <w:tcPr>
                  <w:tcW w:w="2585" w:type="dxa"/>
                  <w:shd w:val="clear" w:color="auto" w:fill="auto"/>
                  <w:vAlign w:val="center"/>
                </w:tcPr>
                <w:p>
                  <w:pPr>
                    <w:pStyle w:val="75"/>
                    <w:spacing w:before="24" w:after="24"/>
                  </w:pPr>
                  <w:r>
                    <w:t>设备、车辆行驶噪声</w:t>
                  </w:r>
                </w:p>
              </w:tc>
              <w:tc>
                <w:tcPr>
                  <w:tcW w:w="2319" w:type="dxa"/>
                  <w:shd w:val="clear" w:color="auto" w:fill="auto"/>
                  <w:vAlign w:val="center"/>
                </w:tcPr>
                <w:p>
                  <w:pPr>
                    <w:pStyle w:val="75"/>
                    <w:spacing w:before="24" w:after="24"/>
                  </w:pPr>
                  <w:r>
                    <w:t>/</w:t>
                  </w:r>
                </w:p>
              </w:tc>
              <w:tc>
                <w:tcPr>
                  <w:tcW w:w="2068" w:type="dxa"/>
                  <w:shd w:val="clear" w:color="auto" w:fill="auto"/>
                  <w:vAlign w:val="center"/>
                </w:tcPr>
                <w:p>
                  <w:pPr>
                    <w:pStyle w:val="75"/>
                    <w:spacing w:before="24" w:after="24"/>
                  </w:pPr>
                  <w:r>
                    <w:t>生产</w:t>
                  </w:r>
                </w:p>
              </w:tc>
            </w:tr>
          </w:tbl>
          <w:p>
            <w:pPr>
              <w:pStyle w:val="8"/>
              <w:spacing w:before="0" w:line="360" w:lineRule="auto"/>
              <w:ind w:firstLine="482"/>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9" w:hRule="atLeast"/>
          <w:jc w:val="center"/>
        </w:trPr>
        <w:tc>
          <w:tcPr>
            <w:tcW w:w="709" w:type="dxa"/>
            <w:vAlign w:val="center"/>
          </w:tcPr>
          <w:p>
            <w:pPr>
              <w:pStyle w:val="22"/>
              <w:adjustRightInd w:val="0"/>
              <w:snapToGrid w:val="0"/>
              <w:spacing w:before="0" w:beforeAutospacing="0" w:after="0" w:afterAutospacing="0"/>
              <w:jc w:val="center"/>
              <w:rPr>
                <w:rFonts w:ascii="Times New Roman" w:hAnsi="Times New Roman"/>
                <w:szCs w:val="24"/>
              </w:rPr>
            </w:pPr>
            <w:r>
              <w:rPr>
                <w:rFonts w:ascii="Times New Roman" w:hAnsi="Times New Roman"/>
                <w:bCs/>
                <w:kern w:val="2"/>
                <w:szCs w:val="24"/>
              </w:rPr>
              <w:t>与项目有关的原有环境污染问题</w:t>
            </w:r>
          </w:p>
        </w:tc>
        <w:tc>
          <w:tcPr>
            <w:tcW w:w="8749" w:type="dxa"/>
          </w:tcPr>
          <w:p>
            <w:pPr>
              <w:spacing w:line="360" w:lineRule="auto"/>
              <w:ind w:firstLine="482" w:firstLineChars="200"/>
              <w:rPr>
                <w:b/>
                <w:bCs/>
                <w:sz w:val="24"/>
              </w:rPr>
            </w:pPr>
            <w:r>
              <w:rPr>
                <w:b/>
                <w:bCs/>
                <w:sz w:val="24"/>
              </w:rPr>
              <w:t>与本项目有关的原有污染情况及主要环境问题：</w:t>
            </w:r>
          </w:p>
          <w:p>
            <w:pPr>
              <w:spacing w:line="360" w:lineRule="auto"/>
              <w:ind w:firstLine="480" w:firstLineChars="200"/>
              <w:rPr>
                <w:bCs/>
                <w:sz w:val="24"/>
              </w:rPr>
            </w:pPr>
            <w:r>
              <w:rPr>
                <w:bCs/>
                <w:sz w:val="24"/>
              </w:rPr>
              <w:t xml:space="preserve">1、项目用地原有污染情况 </w:t>
            </w:r>
          </w:p>
          <w:p>
            <w:pPr>
              <w:spacing w:line="360" w:lineRule="auto"/>
              <w:ind w:firstLine="480" w:firstLineChars="200"/>
              <w:rPr>
                <w:bCs/>
                <w:sz w:val="24"/>
              </w:rPr>
            </w:pPr>
            <w:r>
              <w:rPr>
                <w:bCs/>
                <w:sz w:val="24"/>
              </w:rPr>
              <w:t>本项目目前尚未开工建设，根据现场踏勘情况，项目用地原为云龙县白石镇中和实业有限责任公司电解锌</w:t>
            </w:r>
            <w:r>
              <w:rPr>
                <w:sz w:val="24"/>
              </w:rPr>
              <w:t>厂闲置场地</w:t>
            </w:r>
            <w:r>
              <w:rPr>
                <w:bCs/>
                <w:sz w:val="24"/>
              </w:rPr>
              <w:t>，环评介入时，</w:t>
            </w:r>
            <w:r>
              <w:rPr>
                <w:sz w:val="24"/>
              </w:rPr>
              <w:t>场地现为空地，场地上原有建筑已拆除，仅留部分生活建筑，</w:t>
            </w:r>
            <w:r>
              <w:rPr>
                <w:bCs/>
                <w:sz w:val="24"/>
              </w:rPr>
              <w:t>无遗留环境影响问题。</w:t>
            </w:r>
          </w:p>
          <w:p>
            <w:pPr>
              <w:spacing w:line="360" w:lineRule="auto"/>
              <w:ind w:firstLine="480" w:firstLineChars="200"/>
              <w:rPr>
                <w:bCs/>
                <w:sz w:val="24"/>
              </w:rPr>
            </w:pPr>
            <w:r>
              <w:rPr>
                <w:bCs/>
                <w:sz w:val="24"/>
              </w:rPr>
              <w:t>2、区域主要环境问题</w:t>
            </w:r>
          </w:p>
          <w:p>
            <w:pPr>
              <w:pStyle w:val="80"/>
              <w:adjustRightInd w:val="0"/>
              <w:snapToGrid w:val="0"/>
            </w:pPr>
            <w:r>
              <w:rPr>
                <w:bCs/>
              </w:rPr>
              <w:t xml:space="preserve">区域无与项目有关的重大环境问题。 </w:t>
            </w: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
            <w:pPr>
              <w:pStyle w:val="6"/>
            </w:pPr>
          </w:p>
          <w:p/>
          <w:p>
            <w:pPr>
              <w:pStyle w:val="6"/>
            </w:pPr>
          </w:p>
          <w:p/>
          <w:p/>
          <w:p/>
          <w:p>
            <w:pPr>
              <w:pStyle w:val="6"/>
            </w:pPr>
          </w:p>
          <w:p/>
          <w:p>
            <w:pPr>
              <w:pStyle w:val="6"/>
            </w:pPr>
          </w:p>
          <w:p/>
          <w:p>
            <w:pPr>
              <w:pStyle w:val="6"/>
            </w:pPr>
          </w:p>
          <w:p/>
          <w:p>
            <w:pPr>
              <w:pStyle w:val="6"/>
            </w:pPr>
          </w:p>
          <w:p/>
          <w:p>
            <w:pPr>
              <w:pStyle w:val="6"/>
            </w:pPr>
          </w:p>
          <w:p/>
          <w:p>
            <w:pPr>
              <w:pStyle w:val="6"/>
            </w:pPr>
          </w:p>
          <w:p/>
          <w:p>
            <w:pPr>
              <w:pStyle w:val="6"/>
            </w:pPr>
          </w:p>
          <w:p/>
          <w:p>
            <w:pPr>
              <w:pStyle w:val="6"/>
            </w:pPr>
          </w:p>
          <w:p/>
          <w:p>
            <w:pPr>
              <w:pStyle w:val="6"/>
            </w:pPr>
          </w:p>
          <w:p/>
          <w:p>
            <w:pPr>
              <w:pStyle w:val="6"/>
            </w:pPr>
          </w:p>
          <w:p/>
        </w:tc>
      </w:tr>
    </w:tbl>
    <w:p>
      <w:pPr>
        <w:pStyle w:val="22"/>
        <w:jc w:val="center"/>
        <w:rPr>
          <w:rFonts w:ascii="Times New Roman" w:hAnsi="Times New Roman" w:eastAsia="黑体"/>
          <w:snapToGrid w:val="0"/>
          <w:sz w:val="36"/>
          <w:szCs w:val="36"/>
        </w:rPr>
        <w:sectPr>
          <w:pgSz w:w="11906" w:h="16838"/>
          <w:pgMar w:top="1134" w:right="1247" w:bottom="1134" w:left="1417" w:header="851" w:footer="851" w:gutter="0"/>
          <w:pgNumType w:fmt="numberInDash"/>
          <w:cols w:space="720" w:num="1"/>
          <w:docGrid w:linePitch="312" w:charSpace="0"/>
        </w:sectPr>
      </w:pPr>
    </w:p>
    <w:p>
      <w:pPr>
        <w:pStyle w:val="22"/>
        <w:jc w:val="center"/>
        <w:outlineLvl w:val="0"/>
        <w:rPr>
          <w:rFonts w:ascii="Times New Roman" w:hAnsi="Times New Roman" w:eastAsia="黑体"/>
          <w:snapToGrid w:val="0"/>
          <w:sz w:val="30"/>
          <w:szCs w:val="30"/>
        </w:rPr>
      </w:pPr>
      <w:bookmarkStart w:id="8" w:name="_Toc3282"/>
      <w:r>
        <w:rPr>
          <w:rFonts w:ascii="Times New Roman" w:hAnsi="Times New Roman" w:eastAsia="黑体"/>
          <w:snapToGrid w:val="0"/>
          <w:sz w:val="30"/>
          <w:szCs w:val="30"/>
        </w:rPr>
        <w:t>三、区域环境质量现状、环境保护目标及评价标准</w:t>
      </w:r>
      <w:bookmarkEnd w:id="8"/>
    </w:p>
    <w:tbl>
      <w:tblPr>
        <w:tblStyle w:val="25"/>
        <w:tblW w:w="94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4"/>
        <w:gridCol w:w="9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20" w:hRule="atLeast"/>
          <w:jc w:val="center"/>
        </w:trPr>
        <w:tc>
          <w:tcPr>
            <w:tcW w:w="454" w:type="dxa"/>
            <w:vAlign w:val="center"/>
          </w:tcPr>
          <w:p>
            <w:pPr>
              <w:adjustRightInd w:val="0"/>
              <w:snapToGrid w:val="0"/>
              <w:jc w:val="center"/>
              <w:rPr>
                <w:color w:val="auto"/>
                <w:kern w:val="0"/>
                <w:sz w:val="24"/>
              </w:rPr>
            </w:pPr>
            <w:r>
              <w:rPr>
                <w:color w:val="auto"/>
                <w:kern w:val="0"/>
                <w:sz w:val="24"/>
              </w:rPr>
              <w:t>区域</w:t>
            </w:r>
          </w:p>
          <w:p>
            <w:pPr>
              <w:adjustRightInd w:val="0"/>
              <w:snapToGrid w:val="0"/>
              <w:jc w:val="center"/>
              <w:rPr>
                <w:color w:val="auto"/>
                <w:kern w:val="0"/>
                <w:sz w:val="24"/>
              </w:rPr>
            </w:pPr>
            <w:r>
              <w:rPr>
                <w:color w:val="auto"/>
                <w:kern w:val="0"/>
                <w:sz w:val="24"/>
              </w:rPr>
              <w:t>环境</w:t>
            </w:r>
          </w:p>
          <w:p>
            <w:pPr>
              <w:adjustRightInd w:val="0"/>
              <w:snapToGrid w:val="0"/>
              <w:jc w:val="center"/>
              <w:rPr>
                <w:color w:val="auto"/>
                <w:kern w:val="0"/>
                <w:sz w:val="24"/>
              </w:rPr>
            </w:pPr>
            <w:r>
              <w:rPr>
                <w:color w:val="auto"/>
                <w:kern w:val="0"/>
                <w:sz w:val="24"/>
              </w:rPr>
              <w:t>质量</w:t>
            </w:r>
          </w:p>
          <w:p>
            <w:pPr>
              <w:adjustRightInd w:val="0"/>
              <w:snapToGrid w:val="0"/>
              <w:jc w:val="center"/>
              <w:rPr>
                <w:color w:val="auto"/>
                <w:kern w:val="0"/>
                <w:sz w:val="24"/>
              </w:rPr>
            </w:pPr>
            <w:r>
              <w:rPr>
                <w:color w:val="auto"/>
                <w:kern w:val="0"/>
                <w:sz w:val="24"/>
              </w:rPr>
              <w:t>现状</w:t>
            </w:r>
          </w:p>
        </w:tc>
        <w:tc>
          <w:tcPr>
            <w:tcW w:w="9005" w:type="dxa"/>
          </w:tcPr>
          <w:p>
            <w:pPr>
              <w:spacing w:line="360" w:lineRule="auto"/>
              <w:ind w:firstLine="482" w:firstLineChars="200"/>
              <w:rPr>
                <w:b/>
                <w:color w:val="auto"/>
                <w:sz w:val="24"/>
              </w:rPr>
            </w:pPr>
            <w:r>
              <w:rPr>
                <w:b/>
                <w:bCs/>
                <w:color w:val="auto"/>
                <w:sz w:val="24"/>
              </w:rPr>
              <w:t>3.1.1、</w:t>
            </w:r>
            <w:bookmarkStart w:id="9" w:name="_Toc3467"/>
            <w:bookmarkStart w:id="10" w:name="_Toc672"/>
            <w:r>
              <w:rPr>
                <w:b/>
                <w:color w:val="auto"/>
                <w:sz w:val="24"/>
              </w:rPr>
              <w:t>地表水环境质量评价</w:t>
            </w:r>
            <w:bookmarkEnd w:id="9"/>
            <w:bookmarkEnd w:id="10"/>
          </w:p>
          <w:p>
            <w:pPr>
              <w:spacing w:line="360" w:lineRule="auto"/>
              <w:ind w:firstLine="480" w:firstLineChars="200"/>
              <w:rPr>
                <w:color w:val="auto"/>
                <w:sz w:val="24"/>
              </w:rPr>
            </w:pPr>
            <w:r>
              <w:rPr>
                <w:color w:val="auto"/>
                <w:sz w:val="24"/>
              </w:rPr>
              <w:t>项目为于云龙县白石镇中和村227省道附近，项目所在区域附近地表水为沘江，项目与沘江的直线距离大约为420米。根据《云南省水功能区划》（2014年修订），</w:t>
            </w:r>
            <w:r>
              <w:rPr>
                <w:rFonts w:hint="eastAsia"/>
                <w:color w:val="auto"/>
                <w:sz w:val="24"/>
              </w:rPr>
              <w:t>沘江云龙保留区：由云龙县白石至入澜沧江口，全长</w:t>
            </w:r>
            <w:r>
              <w:rPr>
                <w:color w:val="auto"/>
                <w:sz w:val="24"/>
              </w:rPr>
              <w:t>96.5km</w:t>
            </w:r>
            <w:r>
              <w:rPr>
                <w:rFonts w:hint="eastAsia"/>
                <w:color w:val="auto"/>
                <w:sz w:val="24"/>
              </w:rPr>
              <w:t>。沿江有象图河、大达溪、松弄溪、炼箐河、师里河等支流注入。现状水质为超Ⅴ类，主要超标污染物为：铅、锌、镉、铜、六价铬等，规划水平年水质目标为Ⅲ类</w:t>
            </w:r>
            <w:r>
              <w:rPr>
                <w:color w:val="auto"/>
                <w:sz w:val="24"/>
              </w:rPr>
              <w:t>，执行《地表水环境质量标准》（GB3838-2002）</w:t>
            </w:r>
            <w:r>
              <w:rPr>
                <w:rFonts w:hint="eastAsia" w:ascii="宋体" w:hAnsi="宋体"/>
                <w:color w:val="auto"/>
                <w:sz w:val="24"/>
              </w:rPr>
              <w:t>Ⅲ</w:t>
            </w:r>
            <w:r>
              <w:rPr>
                <w:color w:val="auto"/>
                <w:sz w:val="24"/>
              </w:rPr>
              <w:t>类标准。</w:t>
            </w:r>
          </w:p>
          <w:p>
            <w:pPr>
              <w:spacing w:line="360" w:lineRule="auto"/>
              <w:ind w:firstLine="480" w:firstLineChars="200"/>
              <w:rPr>
                <w:color w:val="auto"/>
                <w:sz w:val="24"/>
              </w:rPr>
            </w:pPr>
            <w:r>
              <w:rPr>
                <w:color w:val="auto"/>
                <w:sz w:val="24"/>
              </w:rPr>
              <w:t>根据大理州人民政府网公布的《大理白族自治州2020年环境状况公报》（2021年6月7日）：项目所涉及的沘江共有三个监测断面-沘江金鸡桥断面、沘江石门断面、沘江大练登断面，三处监测断面水质类别可达到Ⅲ类标准要求，因此沘江（</w:t>
            </w:r>
            <w:r>
              <w:rPr>
                <w:rFonts w:hint="eastAsia"/>
                <w:color w:val="auto"/>
                <w:sz w:val="24"/>
              </w:rPr>
              <w:t>由云龙县白石至入澜沧江口</w:t>
            </w:r>
            <w:r>
              <w:rPr>
                <w:color w:val="auto"/>
                <w:sz w:val="24"/>
              </w:rPr>
              <w:t>）河段满足《地表水环境质量标准》（GB3838-2002）</w:t>
            </w:r>
            <w:r>
              <w:rPr>
                <w:rFonts w:hint="eastAsia"/>
                <w:color w:val="auto"/>
                <w:sz w:val="24"/>
              </w:rPr>
              <w:t>Ⅲ</w:t>
            </w:r>
            <w:r>
              <w:rPr>
                <w:color w:val="auto"/>
                <w:sz w:val="24"/>
              </w:rPr>
              <w:t>类标准要求，为水环境质量达标区。</w:t>
            </w:r>
          </w:p>
          <w:p>
            <w:pPr>
              <w:spacing w:line="360" w:lineRule="auto"/>
              <w:ind w:firstLine="482" w:firstLineChars="200"/>
              <w:rPr>
                <w:b/>
                <w:bCs/>
                <w:color w:val="auto"/>
                <w:sz w:val="24"/>
              </w:rPr>
            </w:pPr>
            <w:r>
              <w:rPr>
                <w:b/>
                <w:bCs/>
                <w:color w:val="auto"/>
                <w:sz w:val="24"/>
              </w:rPr>
              <w:t>3.1.2、大气环境现状调查与评价</w:t>
            </w:r>
          </w:p>
          <w:p>
            <w:pPr>
              <w:pStyle w:val="80"/>
              <w:rPr>
                <w:color w:val="auto"/>
              </w:rPr>
            </w:pPr>
            <w:r>
              <w:rPr>
                <w:color w:val="auto"/>
              </w:rPr>
              <w:t>1、区域达标性判定</w:t>
            </w:r>
          </w:p>
          <w:p>
            <w:pPr>
              <w:pStyle w:val="80"/>
              <w:rPr>
                <w:color w:val="auto"/>
              </w:rPr>
            </w:pPr>
            <w:r>
              <w:rPr>
                <w:color w:val="auto"/>
              </w:rPr>
              <w:t>项目位于云龙县白石镇中和村，属《环境空气质量标准》（GB3095-2012)及修改单环境空气质量功能区二类区。</w:t>
            </w:r>
          </w:p>
          <w:p>
            <w:pPr>
              <w:pStyle w:val="80"/>
              <w:rPr>
                <w:color w:val="auto"/>
              </w:rPr>
            </w:pPr>
            <w:r>
              <w:rPr>
                <w:color w:val="auto"/>
              </w:rPr>
              <w:t>根据大理州人民政府网公布的《大理白族自治州2020年环境状况公报》：</w:t>
            </w:r>
          </w:p>
          <w:p>
            <w:pPr>
              <w:pStyle w:val="80"/>
              <w:rPr>
                <w:color w:val="auto"/>
              </w:rPr>
            </w:pPr>
            <w:r>
              <w:rPr>
                <w:color w:val="auto"/>
              </w:rPr>
              <w:t>2020年，全州环境空气质量总体保持良好。12个县（市）年评价结果均符合环境空气质量二级标准；按日均值评价，12个县（市）优良天数比例在99.5%～100%之间，其中大理市优良天数比例为99.7%，出现轻度污染1天，超标污染物为臭氧。宾川、弥渡、巍山、南涧、祥云、洱源、鹤庆7个县优良天数比例均为100%，全州平均优良天数比例为99.81%。</w:t>
            </w:r>
          </w:p>
          <w:p>
            <w:pPr>
              <w:spacing w:line="360" w:lineRule="auto"/>
              <w:ind w:firstLine="480" w:firstLineChars="200"/>
              <w:rPr>
                <w:color w:val="auto"/>
                <w:sz w:val="24"/>
              </w:rPr>
            </w:pPr>
            <w:r>
              <w:rPr>
                <w:color w:val="auto"/>
                <w:sz w:val="24"/>
              </w:rPr>
              <w:t>经现场踏勘，项目地处山区，周围没有工业废气污染源，项目所在区域为环境空气达标区。</w:t>
            </w:r>
          </w:p>
          <w:p>
            <w:pPr>
              <w:spacing w:line="360" w:lineRule="auto"/>
              <w:ind w:firstLine="480" w:firstLineChars="200"/>
              <w:rPr>
                <w:color w:val="auto"/>
                <w:sz w:val="24"/>
              </w:rPr>
            </w:pPr>
            <w:r>
              <w:rPr>
                <w:color w:val="auto"/>
                <w:sz w:val="24"/>
              </w:rPr>
              <w:t>2、补充监测</w:t>
            </w:r>
          </w:p>
          <w:p>
            <w:pPr>
              <w:spacing w:line="360" w:lineRule="auto"/>
              <w:ind w:firstLine="420"/>
              <w:rPr>
                <w:color w:val="auto"/>
                <w:sz w:val="24"/>
              </w:rPr>
            </w:pPr>
            <w:r>
              <w:rPr>
                <w:color w:val="auto"/>
                <w:sz w:val="24"/>
              </w:rPr>
              <w:t>本次评价期间，建设单位委托中佰科技（云南）有限公司在2021年8月28日~8月30日在项目所在区域进行的一期监测，监测点位详见下表。</w:t>
            </w:r>
          </w:p>
          <w:p>
            <w:pPr>
              <w:pStyle w:val="71"/>
              <w:rPr>
                <w:rFonts w:cs="Times New Roman"/>
                <w:color w:val="auto"/>
              </w:rPr>
            </w:pPr>
            <w:bookmarkStart w:id="11" w:name="_Ref13805"/>
            <w:r>
              <w:rPr>
                <w:rFonts w:cs="Times New Roman"/>
                <w:color w:val="auto"/>
              </w:rPr>
              <w:t>表</w:t>
            </w:r>
            <w:bookmarkEnd w:id="11"/>
            <w:r>
              <w:rPr>
                <w:rFonts w:cs="Times New Roman"/>
                <w:color w:val="auto"/>
              </w:rPr>
              <w:t>3-1    项目所在区域环境空气监测布点一览表</w:t>
            </w:r>
          </w:p>
          <w:tbl>
            <w:tblPr>
              <w:tblStyle w:val="25"/>
              <w:tblW w:w="8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6219"/>
              <w:gridCol w:w="1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6" w:type="dxa"/>
                  <w:vAlign w:val="center"/>
                </w:tcPr>
                <w:p>
                  <w:pPr>
                    <w:pStyle w:val="75"/>
                    <w:spacing w:before="24" w:after="24"/>
                    <w:rPr>
                      <w:color w:val="auto"/>
                    </w:rPr>
                  </w:pPr>
                  <w:r>
                    <w:rPr>
                      <w:color w:val="auto"/>
                    </w:rPr>
                    <w:t>监测点编号</w:t>
                  </w:r>
                </w:p>
              </w:tc>
              <w:tc>
                <w:tcPr>
                  <w:tcW w:w="6219" w:type="dxa"/>
                  <w:vAlign w:val="center"/>
                </w:tcPr>
                <w:p>
                  <w:pPr>
                    <w:pStyle w:val="75"/>
                    <w:spacing w:before="24" w:after="24"/>
                    <w:rPr>
                      <w:color w:val="auto"/>
                    </w:rPr>
                  </w:pPr>
                  <w:r>
                    <w:rPr>
                      <w:color w:val="auto"/>
                    </w:rPr>
                    <w:t>监测点位</w:t>
                  </w:r>
                </w:p>
              </w:tc>
              <w:tc>
                <w:tcPr>
                  <w:tcW w:w="1164" w:type="dxa"/>
                  <w:vAlign w:val="center"/>
                </w:tcPr>
                <w:p>
                  <w:pPr>
                    <w:pStyle w:val="75"/>
                    <w:spacing w:before="24" w:after="24"/>
                    <w:rPr>
                      <w:color w:val="auto"/>
                    </w:rPr>
                  </w:pPr>
                  <w:r>
                    <w:rPr>
                      <w:color w:val="auto"/>
                    </w:rPr>
                    <w:t>环境功能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6" w:type="dxa"/>
                  <w:vAlign w:val="center"/>
                </w:tcPr>
                <w:p>
                  <w:pPr>
                    <w:pStyle w:val="75"/>
                    <w:spacing w:before="24" w:after="24"/>
                    <w:rPr>
                      <w:color w:val="auto"/>
                    </w:rPr>
                  </w:pPr>
                  <w:r>
                    <w:rPr>
                      <w:color w:val="auto"/>
                    </w:rPr>
                    <w:t>1#</w:t>
                  </w:r>
                </w:p>
              </w:tc>
              <w:tc>
                <w:tcPr>
                  <w:tcW w:w="6219" w:type="dxa"/>
                  <w:vAlign w:val="center"/>
                </w:tcPr>
                <w:p>
                  <w:pPr>
                    <w:pStyle w:val="75"/>
                    <w:spacing w:before="24" w:after="24"/>
                    <w:rPr>
                      <w:color w:val="auto"/>
                    </w:rPr>
                  </w:pPr>
                  <w:r>
                    <w:rPr>
                      <w:color w:val="auto"/>
                    </w:rPr>
                    <w:t>项目区西南侧（E99.430175°，N26.203566°）</w:t>
                  </w:r>
                </w:p>
              </w:tc>
              <w:tc>
                <w:tcPr>
                  <w:tcW w:w="1164" w:type="dxa"/>
                  <w:vAlign w:val="center"/>
                </w:tcPr>
                <w:p>
                  <w:pPr>
                    <w:pStyle w:val="75"/>
                    <w:spacing w:before="24" w:after="24"/>
                    <w:rPr>
                      <w:color w:val="auto"/>
                    </w:rPr>
                  </w:pPr>
                  <w:r>
                    <w:rPr>
                      <w:color w:val="auto"/>
                    </w:rPr>
                    <w:t>农村环境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6" w:type="dxa"/>
                  <w:vAlign w:val="center"/>
                </w:tcPr>
                <w:p>
                  <w:pPr>
                    <w:pStyle w:val="75"/>
                    <w:spacing w:before="24" w:after="24"/>
                    <w:rPr>
                      <w:color w:val="auto"/>
                    </w:rPr>
                  </w:pPr>
                  <w:r>
                    <w:rPr>
                      <w:color w:val="auto"/>
                    </w:rPr>
                    <w:t>2#</w:t>
                  </w:r>
                </w:p>
              </w:tc>
              <w:tc>
                <w:tcPr>
                  <w:tcW w:w="6219" w:type="dxa"/>
                  <w:vAlign w:val="center"/>
                </w:tcPr>
                <w:p>
                  <w:pPr>
                    <w:pStyle w:val="75"/>
                    <w:spacing w:before="24" w:after="24"/>
                    <w:rPr>
                      <w:color w:val="auto"/>
                    </w:rPr>
                  </w:pPr>
                  <w:r>
                    <w:rPr>
                      <w:color w:val="auto"/>
                    </w:rPr>
                    <w:t>项目区西北侧（E99.430931°，N26.205990°）</w:t>
                  </w:r>
                </w:p>
              </w:tc>
              <w:tc>
                <w:tcPr>
                  <w:tcW w:w="1164" w:type="dxa"/>
                  <w:vAlign w:val="center"/>
                </w:tcPr>
                <w:p>
                  <w:pPr>
                    <w:pStyle w:val="75"/>
                    <w:spacing w:before="24" w:after="24"/>
                    <w:rPr>
                      <w:color w:val="auto"/>
                    </w:rPr>
                  </w:pPr>
                  <w:r>
                    <w:rPr>
                      <w:color w:val="auto"/>
                    </w:rPr>
                    <w:t>农村环境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6" w:type="dxa"/>
                  <w:vAlign w:val="center"/>
                </w:tcPr>
                <w:p>
                  <w:pPr>
                    <w:pStyle w:val="75"/>
                    <w:spacing w:before="24" w:after="24"/>
                    <w:rPr>
                      <w:color w:val="auto"/>
                    </w:rPr>
                  </w:pPr>
                  <w:r>
                    <w:rPr>
                      <w:color w:val="auto"/>
                    </w:rPr>
                    <w:t>3#</w:t>
                  </w:r>
                </w:p>
              </w:tc>
              <w:tc>
                <w:tcPr>
                  <w:tcW w:w="6219" w:type="dxa"/>
                  <w:vAlign w:val="center"/>
                </w:tcPr>
                <w:p>
                  <w:pPr>
                    <w:pStyle w:val="75"/>
                    <w:spacing w:before="24" w:after="24"/>
                    <w:rPr>
                      <w:color w:val="auto"/>
                    </w:rPr>
                  </w:pPr>
                  <w:r>
                    <w:rPr>
                      <w:color w:val="auto"/>
                    </w:rPr>
                    <w:t>项目区东南侧（E99.432986°，N26.204435°）</w:t>
                  </w:r>
                </w:p>
              </w:tc>
              <w:tc>
                <w:tcPr>
                  <w:tcW w:w="1164" w:type="dxa"/>
                  <w:vAlign w:val="center"/>
                </w:tcPr>
                <w:p>
                  <w:pPr>
                    <w:pStyle w:val="75"/>
                    <w:spacing w:before="24" w:after="24"/>
                    <w:rPr>
                      <w:color w:val="auto"/>
                    </w:rPr>
                  </w:pPr>
                  <w:r>
                    <w:rPr>
                      <w:color w:val="auto"/>
                    </w:rPr>
                    <w:t>农村环境</w:t>
                  </w:r>
                </w:p>
              </w:tc>
            </w:tr>
          </w:tbl>
          <w:p>
            <w:pPr>
              <w:spacing w:line="360" w:lineRule="auto"/>
              <w:ind w:firstLine="420"/>
              <w:rPr>
                <w:color w:val="auto"/>
                <w:sz w:val="24"/>
              </w:rPr>
            </w:pPr>
            <w:r>
              <w:rPr>
                <w:color w:val="auto"/>
                <w:sz w:val="24"/>
              </w:rPr>
              <w:t>（1）监测因子与评价标准</w:t>
            </w:r>
          </w:p>
          <w:p>
            <w:pPr>
              <w:spacing w:line="360" w:lineRule="auto"/>
              <w:ind w:firstLine="420"/>
              <w:rPr>
                <w:color w:val="auto"/>
                <w:sz w:val="24"/>
              </w:rPr>
            </w:pPr>
            <w:r>
              <w:rPr>
                <w:color w:val="auto"/>
                <w:sz w:val="24"/>
              </w:rPr>
              <w:t>环境空气现状监测因子为PM</w:t>
            </w:r>
            <w:r>
              <w:rPr>
                <w:color w:val="auto"/>
                <w:sz w:val="24"/>
                <w:vertAlign w:val="subscript"/>
              </w:rPr>
              <w:t>10</w:t>
            </w:r>
            <w:r>
              <w:rPr>
                <w:color w:val="auto"/>
                <w:sz w:val="24"/>
              </w:rPr>
              <w:t>、TSP，评价标准采用《环境空气质量标准》（GB3095-2012）表1、表2限值。</w:t>
            </w:r>
          </w:p>
          <w:p>
            <w:pPr>
              <w:spacing w:line="360" w:lineRule="auto"/>
              <w:ind w:firstLine="420"/>
              <w:rPr>
                <w:color w:val="auto"/>
                <w:sz w:val="24"/>
              </w:rPr>
            </w:pPr>
            <w:r>
              <w:rPr>
                <w:color w:val="auto"/>
                <w:sz w:val="24"/>
              </w:rPr>
              <w:t>（2）监测时间、频率、分析方法</w:t>
            </w:r>
          </w:p>
          <w:p>
            <w:pPr>
              <w:spacing w:line="360" w:lineRule="auto"/>
              <w:ind w:firstLine="420"/>
              <w:rPr>
                <w:color w:val="auto"/>
                <w:sz w:val="24"/>
              </w:rPr>
            </w:pPr>
            <w:r>
              <w:rPr>
                <w:color w:val="auto"/>
                <w:sz w:val="24"/>
              </w:rPr>
              <w:t>于2021年8月28日~8月30日进行了连续3天采样监测，采样与分析方法均按国家《环境监测技术规范》有关要求进行。</w:t>
            </w:r>
          </w:p>
          <w:p>
            <w:pPr>
              <w:spacing w:line="360" w:lineRule="auto"/>
              <w:ind w:firstLine="420"/>
              <w:rPr>
                <w:color w:val="auto"/>
                <w:sz w:val="24"/>
              </w:rPr>
            </w:pPr>
            <w:r>
              <w:rPr>
                <w:color w:val="auto"/>
                <w:sz w:val="24"/>
              </w:rPr>
              <w:t>（3）监测结果与评价</w:t>
            </w:r>
          </w:p>
          <w:p>
            <w:pPr>
              <w:spacing w:line="360" w:lineRule="auto"/>
              <w:ind w:firstLine="420"/>
              <w:rPr>
                <w:color w:val="auto"/>
                <w:sz w:val="24"/>
              </w:rPr>
            </w:pPr>
            <w:r>
              <w:rPr>
                <w:color w:val="auto"/>
                <w:sz w:val="24"/>
              </w:rPr>
              <w:t>环境空气质量现状监测结果统计见</w:t>
            </w:r>
            <w:r>
              <w:rPr>
                <w:color w:val="auto"/>
                <w:sz w:val="24"/>
              </w:rPr>
              <w:fldChar w:fldCharType="begin"/>
            </w:r>
            <w:r>
              <w:rPr>
                <w:color w:val="auto"/>
                <w:sz w:val="24"/>
              </w:rPr>
              <w:instrText xml:space="preserve"> REF _Ref487790279 \h  \* MERGEFORMAT </w:instrText>
            </w:r>
            <w:r>
              <w:rPr>
                <w:color w:val="auto"/>
                <w:sz w:val="24"/>
              </w:rPr>
              <w:fldChar w:fldCharType="separate"/>
            </w:r>
            <w:r>
              <w:rPr>
                <w:color w:val="auto"/>
                <w:sz w:val="24"/>
              </w:rPr>
              <w:t>表</w:t>
            </w:r>
            <w:r>
              <w:rPr>
                <w:color w:val="auto"/>
                <w:sz w:val="24"/>
              </w:rPr>
              <w:fldChar w:fldCharType="end"/>
            </w:r>
            <w:r>
              <w:rPr>
                <w:color w:val="auto"/>
                <w:sz w:val="24"/>
              </w:rPr>
              <w:t>。</w:t>
            </w:r>
          </w:p>
          <w:p>
            <w:pPr>
              <w:pStyle w:val="75"/>
              <w:spacing w:before="24" w:after="24"/>
              <w:rPr>
                <w:b/>
                <w:color w:val="auto"/>
              </w:rPr>
            </w:pPr>
            <w:bookmarkStart w:id="12" w:name="_Ref487790279"/>
            <w:bookmarkStart w:id="13" w:name="_Ref14511"/>
            <w:r>
              <w:rPr>
                <w:b/>
                <w:color w:val="auto"/>
              </w:rPr>
              <w:t>表</w:t>
            </w:r>
            <w:bookmarkEnd w:id="12"/>
            <w:r>
              <w:rPr>
                <w:b/>
                <w:color w:val="auto"/>
              </w:rPr>
              <w:t>3-2    环境空气监测结果统计表</w:t>
            </w:r>
            <w:bookmarkEnd w:id="13"/>
          </w:p>
          <w:tbl>
            <w:tblPr>
              <w:tblStyle w:val="104"/>
              <w:tblW w:w="877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9"/>
              <w:gridCol w:w="1318"/>
              <w:gridCol w:w="877"/>
              <w:gridCol w:w="2205"/>
              <w:gridCol w:w="1680"/>
              <w:gridCol w:w="957"/>
              <w:gridCol w:w="9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672" w:hRule="atLeast"/>
                <w:tblHeader/>
                <w:jc w:val="center"/>
              </w:trPr>
              <w:tc>
                <w:tcPr>
                  <w:tcW w:w="809" w:type="dxa"/>
                  <w:shd w:val="clear" w:color="auto" w:fill="auto"/>
                  <w:vAlign w:val="center"/>
                </w:tcPr>
                <w:p>
                  <w:pPr>
                    <w:pStyle w:val="75"/>
                    <w:spacing w:before="24" w:after="24"/>
                    <w:rPr>
                      <w:color w:val="auto"/>
                    </w:rPr>
                  </w:pPr>
                  <w:r>
                    <w:rPr>
                      <w:color w:val="auto"/>
                    </w:rPr>
                    <w:t>污染物</w:t>
                  </w:r>
                </w:p>
              </w:tc>
              <w:tc>
                <w:tcPr>
                  <w:tcW w:w="1318" w:type="dxa"/>
                  <w:shd w:val="clear" w:color="auto" w:fill="auto"/>
                  <w:vAlign w:val="center"/>
                </w:tcPr>
                <w:p>
                  <w:pPr>
                    <w:pStyle w:val="75"/>
                    <w:spacing w:before="24" w:after="24"/>
                    <w:rPr>
                      <w:color w:val="auto"/>
                    </w:rPr>
                  </w:pPr>
                  <w:r>
                    <w:rPr>
                      <w:color w:val="auto"/>
                    </w:rPr>
                    <w:t>评价标准/（μg/m</w:t>
                  </w:r>
                  <w:r>
                    <w:rPr>
                      <w:color w:val="auto"/>
                      <w:vertAlign w:val="superscript"/>
                    </w:rPr>
                    <w:t>3</w:t>
                  </w:r>
                  <w:r>
                    <w:rPr>
                      <w:color w:val="auto"/>
                    </w:rPr>
                    <w:t>）</w:t>
                  </w:r>
                </w:p>
              </w:tc>
              <w:tc>
                <w:tcPr>
                  <w:tcW w:w="877" w:type="dxa"/>
                  <w:shd w:val="clear" w:color="auto" w:fill="FFFFFF"/>
                  <w:vAlign w:val="center"/>
                </w:tcPr>
                <w:p>
                  <w:pPr>
                    <w:pStyle w:val="75"/>
                    <w:spacing w:before="24" w:after="24"/>
                    <w:rPr>
                      <w:color w:val="auto"/>
                    </w:rPr>
                  </w:pPr>
                  <w:r>
                    <w:rPr>
                      <w:color w:val="auto"/>
                    </w:rPr>
                    <w:t>点位</w:t>
                  </w:r>
                </w:p>
              </w:tc>
              <w:tc>
                <w:tcPr>
                  <w:tcW w:w="2205" w:type="dxa"/>
                  <w:shd w:val="clear" w:color="auto" w:fill="auto"/>
                  <w:vAlign w:val="center"/>
                </w:tcPr>
                <w:p>
                  <w:pPr>
                    <w:pStyle w:val="75"/>
                    <w:spacing w:before="24" w:after="24"/>
                    <w:rPr>
                      <w:color w:val="auto"/>
                    </w:rPr>
                  </w:pPr>
                  <w:r>
                    <w:rPr>
                      <w:color w:val="auto"/>
                    </w:rPr>
                    <w:t>监测浓度范围/（μg/m</w:t>
                  </w:r>
                  <w:r>
                    <w:rPr>
                      <w:color w:val="auto"/>
                      <w:vertAlign w:val="superscript"/>
                    </w:rPr>
                    <w:t>3</w:t>
                  </w:r>
                  <w:r>
                    <w:rPr>
                      <w:color w:val="auto"/>
                    </w:rPr>
                    <w:t>）</w:t>
                  </w:r>
                </w:p>
              </w:tc>
              <w:tc>
                <w:tcPr>
                  <w:tcW w:w="1680" w:type="dxa"/>
                  <w:shd w:val="clear" w:color="auto" w:fill="auto"/>
                  <w:vAlign w:val="center"/>
                </w:tcPr>
                <w:p>
                  <w:pPr>
                    <w:pStyle w:val="75"/>
                    <w:spacing w:before="24" w:after="24"/>
                    <w:rPr>
                      <w:color w:val="auto"/>
                    </w:rPr>
                  </w:pPr>
                  <w:r>
                    <w:rPr>
                      <w:color w:val="auto"/>
                    </w:rPr>
                    <w:t>最大浓度占标率/%</w:t>
                  </w:r>
                </w:p>
              </w:tc>
              <w:tc>
                <w:tcPr>
                  <w:tcW w:w="957" w:type="dxa"/>
                  <w:shd w:val="clear" w:color="auto" w:fill="auto"/>
                  <w:vAlign w:val="center"/>
                </w:tcPr>
                <w:p>
                  <w:pPr>
                    <w:pStyle w:val="75"/>
                    <w:spacing w:before="24" w:after="24"/>
                    <w:rPr>
                      <w:color w:val="auto"/>
                    </w:rPr>
                  </w:pPr>
                  <w:r>
                    <w:rPr>
                      <w:color w:val="auto"/>
                    </w:rPr>
                    <w:t>超标率/%</w:t>
                  </w:r>
                </w:p>
              </w:tc>
              <w:tc>
                <w:tcPr>
                  <w:tcW w:w="933" w:type="dxa"/>
                  <w:shd w:val="clear" w:color="auto" w:fill="auto"/>
                  <w:vAlign w:val="center"/>
                </w:tcPr>
                <w:p>
                  <w:pPr>
                    <w:pStyle w:val="75"/>
                    <w:spacing w:before="24" w:after="24"/>
                    <w:rPr>
                      <w:color w:val="auto"/>
                    </w:rPr>
                  </w:pPr>
                  <w:r>
                    <w:rPr>
                      <w:color w:val="auto"/>
                    </w:rPr>
                    <w:t>达标情况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809" w:type="dxa"/>
                  <w:vMerge w:val="restart"/>
                  <w:shd w:val="clear" w:color="auto" w:fill="auto"/>
                  <w:vAlign w:val="center"/>
                </w:tcPr>
                <w:p>
                  <w:pPr>
                    <w:pStyle w:val="75"/>
                    <w:spacing w:before="24" w:after="24"/>
                    <w:rPr>
                      <w:color w:val="auto"/>
                    </w:rPr>
                  </w:pPr>
                  <w:r>
                    <w:rPr>
                      <w:color w:val="auto"/>
                    </w:rPr>
                    <w:t>PM</w:t>
                  </w:r>
                  <w:r>
                    <w:rPr>
                      <w:color w:val="auto"/>
                      <w:vertAlign w:val="subscript"/>
                    </w:rPr>
                    <w:t>10</w:t>
                  </w:r>
                </w:p>
              </w:tc>
              <w:tc>
                <w:tcPr>
                  <w:tcW w:w="1318" w:type="dxa"/>
                  <w:vMerge w:val="restart"/>
                  <w:shd w:val="clear" w:color="auto" w:fill="auto"/>
                  <w:vAlign w:val="center"/>
                </w:tcPr>
                <w:p>
                  <w:pPr>
                    <w:pStyle w:val="75"/>
                    <w:spacing w:before="24" w:after="24"/>
                    <w:rPr>
                      <w:color w:val="auto"/>
                    </w:rPr>
                  </w:pPr>
                  <w:r>
                    <w:rPr>
                      <w:color w:val="auto"/>
                    </w:rPr>
                    <w:t>150</w:t>
                  </w:r>
                </w:p>
              </w:tc>
              <w:tc>
                <w:tcPr>
                  <w:tcW w:w="877" w:type="dxa"/>
                  <w:shd w:val="clear" w:color="auto" w:fill="FFFFFF"/>
                  <w:vAlign w:val="center"/>
                </w:tcPr>
                <w:p>
                  <w:pPr>
                    <w:pStyle w:val="75"/>
                    <w:spacing w:before="24" w:after="24"/>
                    <w:rPr>
                      <w:color w:val="auto"/>
                    </w:rPr>
                  </w:pPr>
                  <w:r>
                    <w:rPr>
                      <w:color w:val="auto"/>
                    </w:rPr>
                    <w:t>1#</w:t>
                  </w:r>
                </w:p>
              </w:tc>
              <w:tc>
                <w:tcPr>
                  <w:tcW w:w="2205" w:type="dxa"/>
                  <w:shd w:val="clear" w:color="auto" w:fill="auto"/>
                  <w:vAlign w:val="center"/>
                </w:tcPr>
                <w:p>
                  <w:pPr>
                    <w:pStyle w:val="75"/>
                    <w:spacing w:before="24" w:after="24"/>
                    <w:rPr>
                      <w:color w:val="auto"/>
                    </w:rPr>
                  </w:pPr>
                  <w:r>
                    <w:rPr>
                      <w:color w:val="auto"/>
                    </w:rPr>
                    <w:t>78~92</w:t>
                  </w:r>
                </w:p>
              </w:tc>
              <w:tc>
                <w:tcPr>
                  <w:tcW w:w="1680" w:type="dxa"/>
                  <w:shd w:val="clear" w:color="auto" w:fill="auto"/>
                  <w:vAlign w:val="center"/>
                </w:tcPr>
                <w:p>
                  <w:pPr>
                    <w:pStyle w:val="75"/>
                    <w:spacing w:before="24" w:after="24"/>
                    <w:rPr>
                      <w:color w:val="auto"/>
                    </w:rPr>
                  </w:pPr>
                  <w:r>
                    <w:rPr>
                      <w:color w:val="auto"/>
                    </w:rPr>
                    <w:t>61.33</w:t>
                  </w:r>
                </w:p>
              </w:tc>
              <w:tc>
                <w:tcPr>
                  <w:tcW w:w="957" w:type="dxa"/>
                  <w:shd w:val="clear" w:color="auto" w:fill="auto"/>
                  <w:vAlign w:val="center"/>
                </w:tcPr>
                <w:p>
                  <w:pPr>
                    <w:pStyle w:val="75"/>
                    <w:spacing w:before="24" w:after="24"/>
                    <w:rPr>
                      <w:color w:val="auto"/>
                    </w:rPr>
                  </w:pPr>
                  <w:r>
                    <w:rPr>
                      <w:color w:val="auto"/>
                    </w:rPr>
                    <w:t>0</w:t>
                  </w:r>
                </w:p>
              </w:tc>
              <w:tc>
                <w:tcPr>
                  <w:tcW w:w="933" w:type="dxa"/>
                  <w:shd w:val="clear" w:color="auto" w:fill="auto"/>
                  <w:vAlign w:val="center"/>
                </w:tcPr>
                <w:p>
                  <w:pPr>
                    <w:pStyle w:val="75"/>
                    <w:spacing w:before="24" w:after="24"/>
                    <w:rPr>
                      <w:color w:val="auto"/>
                    </w:rPr>
                  </w:pPr>
                  <w:r>
                    <w:rPr>
                      <w:color w:val="auto"/>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809" w:type="dxa"/>
                  <w:vMerge w:val="continue"/>
                  <w:shd w:val="clear" w:color="auto" w:fill="auto"/>
                  <w:vAlign w:val="center"/>
                </w:tcPr>
                <w:p>
                  <w:pPr>
                    <w:pStyle w:val="75"/>
                    <w:spacing w:before="24" w:after="24"/>
                    <w:rPr>
                      <w:color w:val="auto"/>
                    </w:rPr>
                  </w:pPr>
                </w:p>
              </w:tc>
              <w:tc>
                <w:tcPr>
                  <w:tcW w:w="1318" w:type="dxa"/>
                  <w:vMerge w:val="continue"/>
                  <w:shd w:val="clear" w:color="auto" w:fill="auto"/>
                  <w:vAlign w:val="center"/>
                </w:tcPr>
                <w:p>
                  <w:pPr>
                    <w:pStyle w:val="75"/>
                    <w:spacing w:before="24" w:after="24"/>
                    <w:rPr>
                      <w:color w:val="auto"/>
                    </w:rPr>
                  </w:pPr>
                </w:p>
              </w:tc>
              <w:tc>
                <w:tcPr>
                  <w:tcW w:w="877" w:type="dxa"/>
                  <w:shd w:val="clear" w:color="auto" w:fill="FFFFFF"/>
                  <w:vAlign w:val="center"/>
                </w:tcPr>
                <w:p>
                  <w:pPr>
                    <w:pStyle w:val="75"/>
                    <w:spacing w:before="24" w:after="24"/>
                    <w:rPr>
                      <w:color w:val="auto"/>
                    </w:rPr>
                  </w:pPr>
                  <w:r>
                    <w:rPr>
                      <w:color w:val="auto"/>
                    </w:rPr>
                    <w:t>2#</w:t>
                  </w:r>
                </w:p>
              </w:tc>
              <w:tc>
                <w:tcPr>
                  <w:tcW w:w="2205" w:type="dxa"/>
                  <w:shd w:val="clear" w:color="auto" w:fill="auto"/>
                  <w:vAlign w:val="center"/>
                </w:tcPr>
                <w:p>
                  <w:pPr>
                    <w:pStyle w:val="75"/>
                    <w:spacing w:before="24" w:after="24"/>
                    <w:rPr>
                      <w:color w:val="auto"/>
                    </w:rPr>
                  </w:pPr>
                  <w:r>
                    <w:rPr>
                      <w:color w:val="auto"/>
                    </w:rPr>
                    <w:t>74~98</w:t>
                  </w:r>
                </w:p>
              </w:tc>
              <w:tc>
                <w:tcPr>
                  <w:tcW w:w="1680" w:type="dxa"/>
                  <w:shd w:val="clear" w:color="auto" w:fill="auto"/>
                  <w:vAlign w:val="center"/>
                </w:tcPr>
                <w:p>
                  <w:pPr>
                    <w:pStyle w:val="75"/>
                    <w:spacing w:before="24" w:after="24"/>
                    <w:rPr>
                      <w:color w:val="auto"/>
                    </w:rPr>
                  </w:pPr>
                  <w:r>
                    <w:rPr>
                      <w:color w:val="auto"/>
                    </w:rPr>
                    <w:t>65.33</w:t>
                  </w:r>
                </w:p>
              </w:tc>
              <w:tc>
                <w:tcPr>
                  <w:tcW w:w="957" w:type="dxa"/>
                  <w:shd w:val="clear" w:color="auto" w:fill="auto"/>
                  <w:vAlign w:val="center"/>
                </w:tcPr>
                <w:p>
                  <w:pPr>
                    <w:pStyle w:val="75"/>
                    <w:spacing w:before="24" w:after="24"/>
                    <w:rPr>
                      <w:color w:val="auto"/>
                    </w:rPr>
                  </w:pPr>
                  <w:r>
                    <w:rPr>
                      <w:color w:val="auto"/>
                    </w:rPr>
                    <w:t>0</w:t>
                  </w:r>
                </w:p>
              </w:tc>
              <w:tc>
                <w:tcPr>
                  <w:tcW w:w="933" w:type="dxa"/>
                  <w:shd w:val="clear" w:color="auto" w:fill="auto"/>
                  <w:vAlign w:val="center"/>
                </w:tcPr>
                <w:p>
                  <w:pPr>
                    <w:pStyle w:val="75"/>
                    <w:spacing w:before="24" w:after="24"/>
                    <w:rPr>
                      <w:color w:val="auto"/>
                    </w:rPr>
                  </w:pPr>
                  <w:r>
                    <w:rPr>
                      <w:color w:val="auto"/>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809" w:type="dxa"/>
                  <w:vMerge w:val="continue"/>
                  <w:shd w:val="clear" w:color="auto" w:fill="auto"/>
                  <w:vAlign w:val="center"/>
                </w:tcPr>
                <w:p>
                  <w:pPr>
                    <w:pStyle w:val="75"/>
                    <w:spacing w:before="24" w:after="24"/>
                    <w:rPr>
                      <w:color w:val="auto"/>
                    </w:rPr>
                  </w:pPr>
                </w:p>
              </w:tc>
              <w:tc>
                <w:tcPr>
                  <w:tcW w:w="1318" w:type="dxa"/>
                  <w:vMerge w:val="continue"/>
                  <w:shd w:val="clear" w:color="auto" w:fill="auto"/>
                  <w:vAlign w:val="center"/>
                </w:tcPr>
                <w:p>
                  <w:pPr>
                    <w:pStyle w:val="75"/>
                    <w:spacing w:before="24" w:after="24"/>
                    <w:rPr>
                      <w:color w:val="auto"/>
                    </w:rPr>
                  </w:pPr>
                </w:p>
              </w:tc>
              <w:tc>
                <w:tcPr>
                  <w:tcW w:w="877" w:type="dxa"/>
                  <w:shd w:val="clear" w:color="auto" w:fill="FFFFFF"/>
                  <w:vAlign w:val="center"/>
                </w:tcPr>
                <w:p>
                  <w:pPr>
                    <w:pStyle w:val="75"/>
                    <w:spacing w:before="24" w:after="24"/>
                    <w:rPr>
                      <w:color w:val="auto"/>
                    </w:rPr>
                  </w:pPr>
                  <w:r>
                    <w:rPr>
                      <w:color w:val="auto"/>
                    </w:rPr>
                    <w:t>3#</w:t>
                  </w:r>
                </w:p>
              </w:tc>
              <w:tc>
                <w:tcPr>
                  <w:tcW w:w="2205" w:type="dxa"/>
                  <w:shd w:val="clear" w:color="auto" w:fill="auto"/>
                  <w:vAlign w:val="center"/>
                </w:tcPr>
                <w:p>
                  <w:pPr>
                    <w:pStyle w:val="75"/>
                    <w:spacing w:before="24" w:after="24"/>
                    <w:rPr>
                      <w:color w:val="auto"/>
                    </w:rPr>
                  </w:pPr>
                  <w:r>
                    <w:rPr>
                      <w:color w:val="auto"/>
                    </w:rPr>
                    <w:t>80~83</w:t>
                  </w:r>
                </w:p>
              </w:tc>
              <w:tc>
                <w:tcPr>
                  <w:tcW w:w="1680" w:type="dxa"/>
                  <w:shd w:val="clear" w:color="auto" w:fill="auto"/>
                  <w:vAlign w:val="center"/>
                </w:tcPr>
                <w:p>
                  <w:pPr>
                    <w:pStyle w:val="75"/>
                    <w:spacing w:before="24" w:after="24"/>
                    <w:rPr>
                      <w:color w:val="auto"/>
                    </w:rPr>
                  </w:pPr>
                  <w:r>
                    <w:rPr>
                      <w:color w:val="auto"/>
                    </w:rPr>
                    <w:t>55.33</w:t>
                  </w:r>
                </w:p>
              </w:tc>
              <w:tc>
                <w:tcPr>
                  <w:tcW w:w="957" w:type="dxa"/>
                  <w:shd w:val="clear" w:color="auto" w:fill="auto"/>
                  <w:vAlign w:val="center"/>
                </w:tcPr>
                <w:p>
                  <w:pPr>
                    <w:pStyle w:val="75"/>
                    <w:spacing w:before="24" w:after="24"/>
                    <w:rPr>
                      <w:color w:val="auto"/>
                    </w:rPr>
                  </w:pPr>
                  <w:r>
                    <w:rPr>
                      <w:color w:val="auto"/>
                    </w:rPr>
                    <w:t>0</w:t>
                  </w:r>
                </w:p>
              </w:tc>
              <w:tc>
                <w:tcPr>
                  <w:tcW w:w="933" w:type="dxa"/>
                  <w:shd w:val="clear" w:color="auto" w:fill="auto"/>
                  <w:vAlign w:val="center"/>
                </w:tcPr>
                <w:p>
                  <w:pPr>
                    <w:pStyle w:val="75"/>
                    <w:spacing w:before="24" w:after="24"/>
                    <w:rPr>
                      <w:color w:val="auto"/>
                    </w:rPr>
                  </w:pPr>
                  <w:r>
                    <w:rPr>
                      <w:color w:val="auto"/>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809" w:type="dxa"/>
                  <w:vMerge w:val="restart"/>
                  <w:shd w:val="clear" w:color="auto" w:fill="auto"/>
                  <w:vAlign w:val="center"/>
                </w:tcPr>
                <w:p>
                  <w:pPr>
                    <w:pStyle w:val="75"/>
                    <w:spacing w:before="24" w:after="24"/>
                    <w:rPr>
                      <w:color w:val="auto"/>
                    </w:rPr>
                  </w:pPr>
                  <w:r>
                    <w:rPr>
                      <w:color w:val="auto"/>
                    </w:rPr>
                    <w:t>TSP</w:t>
                  </w:r>
                </w:p>
              </w:tc>
              <w:tc>
                <w:tcPr>
                  <w:tcW w:w="1318" w:type="dxa"/>
                  <w:vMerge w:val="restart"/>
                  <w:shd w:val="clear" w:color="auto" w:fill="auto"/>
                  <w:vAlign w:val="center"/>
                </w:tcPr>
                <w:p>
                  <w:pPr>
                    <w:pStyle w:val="75"/>
                    <w:spacing w:before="24" w:after="24"/>
                    <w:rPr>
                      <w:color w:val="auto"/>
                    </w:rPr>
                  </w:pPr>
                  <w:r>
                    <w:rPr>
                      <w:color w:val="auto"/>
                    </w:rPr>
                    <w:t>300</w:t>
                  </w:r>
                </w:p>
              </w:tc>
              <w:tc>
                <w:tcPr>
                  <w:tcW w:w="877" w:type="dxa"/>
                  <w:shd w:val="clear" w:color="auto" w:fill="FFFFFF"/>
                  <w:vAlign w:val="center"/>
                </w:tcPr>
                <w:p>
                  <w:pPr>
                    <w:pStyle w:val="75"/>
                    <w:spacing w:before="24" w:after="24"/>
                    <w:rPr>
                      <w:color w:val="auto"/>
                    </w:rPr>
                  </w:pPr>
                  <w:r>
                    <w:rPr>
                      <w:color w:val="auto"/>
                    </w:rPr>
                    <w:t>1#</w:t>
                  </w:r>
                </w:p>
              </w:tc>
              <w:tc>
                <w:tcPr>
                  <w:tcW w:w="2205" w:type="dxa"/>
                  <w:shd w:val="clear" w:color="auto" w:fill="auto"/>
                  <w:vAlign w:val="center"/>
                </w:tcPr>
                <w:p>
                  <w:pPr>
                    <w:pStyle w:val="75"/>
                    <w:spacing w:before="24" w:after="24"/>
                    <w:rPr>
                      <w:color w:val="auto"/>
                    </w:rPr>
                  </w:pPr>
                  <w:r>
                    <w:rPr>
                      <w:color w:val="auto"/>
                    </w:rPr>
                    <w:t>172~201</w:t>
                  </w:r>
                </w:p>
              </w:tc>
              <w:tc>
                <w:tcPr>
                  <w:tcW w:w="1680" w:type="dxa"/>
                  <w:shd w:val="clear" w:color="auto" w:fill="auto"/>
                  <w:vAlign w:val="center"/>
                </w:tcPr>
                <w:p>
                  <w:pPr>
                    <w:pStyle w:val="75"/>
                    <w:spacing w:before="24" w:after="24"/>
                    <w:rPr>
                      <w:color w:val="auto"/>
                    </w:rPr>
                  </w:pPr>
                  <w:r>
                    <w:rPr>
                      <w:color w:val="auto"/>
                    </w:rPr>
                    <w:t>67</w:t>
                  </w:r>
                </w:p>
              </w:tc>
              <w:tc>
                <w:tcPr>
                  <w:tcW w:w="957" w:type="dxa"/>
                  <w:shd w:val="clear" w:color="auto" w:fill="auto"/>
                  <w:vAlign w:val="center"/>
                </w:tcPr>
                <w:p>
                  <w:pPr>
                    <w:pStyle w:val="75"/>
                    <w:spacing w:before="24" w:after="24"/>
                    <w:rPr>
                      <w:color w:val="auto"/>
                    </w:rPr>
                  </w:pPr>
                  <w:r>
                    <w:rPr>
                      <w:color w:val="auto"/>
                    </w:rPr>
                    <w:t>0</w:t>
                  </w:r>
                </w:p>
              </w:tc>
              <w:tc>
                <w:tcPr>
                  <w:tcW w:w="933" w:type="dxa"/>
                  <w:shd w:val="clear" w:color="auto" w:fill="auto"/>
                  <w:vAlign w:val="center"/>
                </w:tcPr>
                <w:p>
                  <w:pPr>
                    <w:pStyle w:val="75"/>
                    <w:spacing w:before="24" w:after="24"/>
                    <w:rPr>
                      <w:color w:val="auto"/>
                    </w:rPr>
                  </w:pPr>
                  <w:r>
                    <w:rPr>
                      <w:color w:val="auto"/>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809" w:type="dxa"/>
                  <w:vMerge w:val="continue"/>
                  <w:shd w:val="clear" w:color="auto" w:fill="auto"/>
                  <w:vAlign w:val="center"/>
                </w:tcPr>
                <w:p>
                  <w:pPr>
                    <w:pStyle w:val="75"/>
                    <w:spacing w:before="24" w:after="24"/>
                    <w:rPr>
                      <w:color w:val="auto"/>
                    </w:rPr>
                  </w:pPr>
                </w:p>
              </w:tc>
              <w:tc>
                <w:tcPr>
                  <w:tcW w:w="1318" w:type="dxa"/>
                  <w:vMerge w:val="continue"/>
                  <w:shd w:val="clear" w:color="auto" w:fill="auto"/>
                  <w:vAlign w:val="center"/>
                </w:tcPr>
                <w:p>
                  <w:pPr>
                    <w:pStyle w:val="75"/>
                    <w:spacing w:before="24" w:after="24"/>
                    <w:rPr>
                      <w:color w:val="auto"/>
                    </w:rPr>
                  </w:pPr>
                </w:p>
              </w:tc>
              <w:tc>
                <w:tcPr>
                  <w:tcW w:w="877" w:type="dxa"/>
                  <w:shd w:val="clear" w:color="auto" w:fill="FFFFFF"/>
                  <w:vAlign w:val="center"/>
                </w:tcPr>
                <w:p>
                  <w:pPr>
                    <w:pStyle w:val="75"/>
                    <w:spacing w:before="24" w:after="24"/>
                    <w:rPr>
                      <w:color w:val="auto"/>
                    </w:rPr>
                  </w:pPr>
                  <w:r>
                    <w:rPr>
                      <w:color w:val="auto"/>
                    </w:rPr>
                    <w:t>2#</w:t>
                  </w:r>
                </w:p>
              </w:tc>
              <w:tc>
                <w:tcPr>
                  <w:tcW w:w="2205" w:type="dxa"/>
                  <w:shd w:val="clear" w:color="auto" w:fill="auto"/>
                  <w:vAlign w:val="center"/>
                </w:tcPr>
                <w:p>
                  <w:pPr>
                    <w:pStyle w:val="75"/>
                    <w:spacing w:before="24" w:after="24"/>
                    <w:rPr>
                      <w:color w:val="auto"/>
                    </w:rPr>
                  </w:pPr>
                  <w:r>
                    <w:rPr>
                      <w:color w:val="auto"/>
                    </w:rPr>
                    <w:t>169~187</w:t>
                  </w:r>
                </w:p>
              </w:tc>
              <w:tc>
                <w:tcPr>
                  <w:tcW w:w="1680" w:type="dxa"/>
                  <w:shd w:val="clear" w:color="auto" w:fill="auto"/>
                  <w:vAlign w:val="center"/>
                </w:tcPr>
                <w:p>
                  <w:pPr>
                    <w:pStyle w:val="75"/>
                    <w:spacing w:before="24" w:after="24"/>
                    <w:rPr>
                      <w:color w:val="auto"/>
                    </w:rPr>
                  </w:pPr>
                  <w:r>
                    <w:rPr>
                      <w:color w:val="auto"/>
                    </w:rPr>
                    <w:t>62.33</w:t>
                  </w:r>
                </w:p>
              </w:tc>
              <w:tc>
                <w:tcPr>
                  <w:tcW w:w="957" w:type="dxa"/>
                  <w:shd w:val="clear" w:color="auto" w:fill="auto"/>
                  <w:vAlign w:val="center"/>
                </w:tcPr>
                <w:p>
                  <w:pPr>
                    <w:pStyle w:val="75"/>
                    <w:spacing w:before="24" w:after="24"/>
                    <w:rPr>
                      <w:color w:val="auto"/>
                    </w:rPr>
                  </w:pPr>
                  <w:r>
                    <w:rPr>
                      <w:color w:val="auto"/>
                    </w:rPr>
                    <w:t>0</w:t>
                  </w:r>
                </w:p>
              </w:tc>
              <w:tc>
                <w:tcPr>
                  <w:tcW w:w="933" w:type="dxa"/>
                  <w:shd w:val="clear" w:color="auto" w:fill="auto"/>
                  <w:vAlign w:val="center"/>
                </w:tcPr>
                <w:p>
                  <w:pPr>
                    <w:pStyle w:val="75"/>
                    <w:spacing w:before="24" w:after="24"/>
                    <w:rPr>
                      <w:color w:val="auto"/>
                    </w:rPr>
                  </w:pPr>
                  <w:r>
                    <w:rPr>
                      <w:color w:val="auto"/>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809" w:type="dxa"/>
                  <w:vMerge w:val="continue"/>
                  <w:shd w:val="clear" w:color="auto" w:fill="auto"/>
                  <w:vAlign w:val="center"/>
                </w:tcPr>
                <w:p>
                  <w:pPr>
                    <w:pStyle w:val="75"/>
                    <w:spacing w:before="24" w:after="24"/>
                    <w:rPr>
                      <w:color w:val="auto"/>
                    </w:rPr>
                  </w:pPr>
                </w:p>
              </w:tc>
              <w:tc>
                <w:tcPr>
                  <w:tcW w:w="1318" w:type="dxa"/>
                  <w:vMerge w:val="continue"/>
                  <w:shd w:val="clear" w:color="auto" w:fill="auto"/>
                  <w:vAlign w:val="center"/>
                </w:tcPr>
                <w:p>
                  <w:pPr>
                    <w:pStyle w:val="75"/>
                    <w:spacing w:before="24" w:after="24"/>
                    <w:rPr>
                      <w:color w:val="auto"/>
                    </w:rPr>
                  </w:pPr>
                </w:p>
              </w:tc>
              <w:tc>
                <w:tcPr>
                  <w:tcW w:w="877" w:type="dxa"/>
                  <w:shd w:val="clear" w:color="auto" w:fill="FFFFFF"/>
                  <w:vAlign w:val="center"/>
                </w:tcPr>
                <w:p>
                  <w:pPr>
                    <w:pStyle w:val="75"/>
                    <w:spacing w:before="24" w:after="24"/>
                    <w:rPr>
                      <w:color w:val="auto"/>
                    </w:rPr>
                  </w:pPr>
                  <w:r>
                    <w:rPr>
                      <w:color w:val="auto"/>
                    </w:rPr>
                    <w:t>3#</w:t>
                  </w:r>
                </w:p>
              </w:tc>
              <w:tc>
                <w:tcPr>
                  <w:tcW w:w="2205" w:type="dxa"/>
                  <w:shd w:val="clear" w:color="auto" w:fill="auto"/>
                  <w:vAlign w:val="center"/>
                </w:tcPr>
                <w:p>
                  <w:pPr>
                    <w:pStyle w:val="75"/>
                    <w:spacing w:before="24" w:after="24"/>
                    <w:rPr>
                      <w:color w:val="auto"/>
                    </w:rPr>
                  </w:pPr>
                  <w:r>
                    <w:rPr>
                      <w:color w:val="auto"/>
                    </w:rPr>
                    <w:t>173~181</w:t>
                  </w:r>
                </w:p>
              </w:tc>
              <w:tc>
                <w:tcPr>
                  <w:tcW w:w="1680" w:type="dxa"/>
                  <w:shd w:val="clear" w:color="auto" w:fill="auto"/>
                  <w:vAlign w:val="center"/>
                </w:tcPr>
                <w:p>
                  <w:pPr>
                    <w:pStyle w:val="75"/>
                    <w:spacing w:before="24" w:after="24"/>
                    <w:rPr>
                      <w:color w:val="auto"/>
                    </w:rPr>
                  </w:pPr>
                  <w:r>
                    <w:rPr>
                      <w:color w:val="auto"/>
                    </w:rPr>
                    <w:t>60.33</w:t>
                  </w:r>
                </w:p>
              </w:tc>
              <w:tc>
                <w:tcPr>
                  <w:tcW w:w="957" w:type="dxa"/>
                  <w:shd w:val="clear" w:color="auto" w:fill="auto"/>
                  <w:vAlign w:val="center"/>
                </w:tcPr>
                <w:p>
                  <w:pPr>
                    <w:pStyle w:val="75"/>
                    <w:spacing w:before="24" w:after="24"/>
                    <w:rPr>
                      <w:color w:val="auto"/>
                    </w:rPr>
                  </w:pPr>
                  <w:r>
                    <w:rPr>
                      <w:color w:val="auto"/>
                    </w:rPr>
                    <w:t>0</w:t>
                  </w:r>
                </w:p>
              </w:tc>
              <w:tc>
                <w:tcPr>
                  <w:tcW w:w="933" w:type="dxa"/>
                  <w:shd w:val="clear" w:color="auto" w:fill="auto"/>
                  <w:vAlign w:val="center"/>
                </w:tcPr>
                <w:p>
                  <w:pPr>
                    <w:pStyle w:val="75"/>
                    <w:spacing w:before="24" w:after="24"/>
                    <w:rPr>
                      <w:color w:val="auto"/>
                    </w:rPr>
                  </w:pPr>
                  <w:r>
                    <w:rPr>
                      <w:color w:val="auto"/>
                    </w:rPr>
                    <w:t>达标</w:t>
                  </w:r>
                </w:p>
              </w:tc>
            </w:tr>
          </w:tbl>
          <w:p>
            <w:pPr>
              <w:spacing w:line="360" w:lineRule="auto"/>
              <w:ind w:firstLine="480" w:firstLineChars="200"/>
              <w:rPr>
                <w:color w:val="auto"/>
                <w:sz w:val="24"/>
              </w:rPr>
            </w:pPr>
            <w:r>
              <w:rPr>
                <w:color w:val="auto"/>
                <w:sz w:val="24"/>
              </w:rPr>
              <w:t>从上表环境空气监测统计结果和评价可知，大气环境质量现状监测点位中PM</w:t>
            </w:r>
            <w:r>
              <w:rPr>
                <w:color w:val="auto"/>
                <w:sz w:val="24"/>
                <w:vertAlign w:val="subscript"/>
              </w:rPr>
              <w:t>10</w:t>
            </w:r>
            <w:r>
              <w:rPr>
                <w:color w:val="auto"/>
                <w:sz w:val="24"/>
              </w:rPr>
              <w:t>、TSP能满足《环境空气质量标准》（GB3095-2012）表1、表2中二级标准限值。</w:t>
            </w:r>
          </w:p>
          <w:p>
            <w:pPr>
              <w:spacing w:line="360" w:lineRule="auto"/>
              <w:ind w:firstLine="482" w:firstLineChars="200"/>
              <w:rPr>
                <w:b/>
                <w:bCs/>
                <w:color w:val="auto"/>
                <w:sz w:val="24"/>
              </w:rPr>
            </w:pPr>
            <w:r>
              <w:rPr>
                <w:b/>
                <w:bCs/>
                <w:color w:val="auto"/>
                <w:sz w:val="24"/>
              </w:rPr>
              <w:t>3.1.3、声环境现状调查与评价</w:t>
            </w:r>
          </w:p>
          <w:p>
            <w:pPr>
              <w:spacing w:line="360" w:lineRule="auto"/>
              <w:ind w:firstLine="480" w:firstLineChars="200"/>
              <w:rPr>
                <w:color w:val="auto"/>
                <w:sz w:val="24"/>
              </w:rPr>
            </w:pPr>
            <w:r>
              <w:rPr>
                <w:color w:val="auto"/>
                <w:sz w:val="24"/>
              </w:rPr>
              <w:t>本项目位于农村地区，东侧为G215。区域内的主要噪声源为公路上过往车辆产生的交通噪声。项目所在地为农村地区，项目区域可达到《声环境质量标准》(GB3096-2008)中2类标准。根据现场踏勘，项目周围50m范围内无声环境敏感目标，无需进行声环境保护目标质量现状监测与评价。</w:t>
            </w:r>
          </w:p>
          <w:p>
            <w:pPr>
              <w:spacing w:line="360" w:lineRule="auto"/>
              <w:ind w:firstLine="482" w:firstLineChars="200"/>
              <w:rPr>
                <w:b/>
                <w:bCs/>
                <w:color w:val="auto"/>
                <w:sz w:val="24"/>
              </w:rPr>
            </w:pPr>
            <w:r>
              <w:rPr>
                <w:b/>
                <w:bCs/>
                <w:color w:val="auto"/>
                <w:sz w:val="24"/>
              </w:rPr>
              <w:t>3.1.4、生态环境现状调查与评价</w:t>
            </w:r>
          </w:p>
          <w:p>
            <w:pPr>
              <w:spacing w:line="360" w:lineRule="auto"/>
              <w:ind w:firstLine="480" w:firstLineChars="200"/>
              <w:rPr>
                <w:color w:val="auto"/>
                <w:sz w:val="24"/>
              </w:rPr>
            </w:pPr>
            <w:r>
              <w:rPr>
                <w:color w:val="auto"/>
                <w:sz w:val="24"/>
              </w:rPr>
              <w:t>项目不占用基本农田保护区、生态公益林等，不涉及自然保护区、饮用水源保护区、风景名胜区等生态敏感区域或生态保护红线。项目所在区域内为低山丘陵地貌，现状主要为山地为主，由于长期受到农林活动的影响，现有野生动物组成比较简单，种类较少，表现为农业生态系统及山地生态系统。通过对项目场地现状的调查，主要的木本植物为人工种植的行道树，主要有杉树、枫树、楠竹、泡桐树、青桐树、樟树和杨树等；草本植物主要有芦苇草、狗尾草、车前草、狗牙根和野菊花等常见杂草；经济作物主要有桔树、以及农业作物等。据调查，区内樟树为人工种植樟树，未发现其它珍稀濒危需特殊保护的物种。区域野生动物较少，主要为常见的蛇、鼠、麻雀、青蛙、斑鸠等；家庭蓄养的主要有猪、鸡、牛、羊、鸭等；水生鱼类有草鱼、鲢鱼、鲫鱼等，据调查未发现珍稀动物物种。</w:t>
            </w:r>
          </w:p>
          <w:p>
            <w:pPr>
              <w:pStyle w:val="6"/>
              <w:rPr>
                <w:color w:val="auto"/>
              </w:rPr>
            </w:pPr>
          </w:p>
          <w:p>
            <w:pPr>
              <w:rPr>
                <w:color w:val="auto"/>
              </w:rPr>
            </w:pPr>
          </w:p>
          <w:p>
            <w:pPr>
              <w:pStyle w:val="6"/>
              <w:rPr>
                <w:color w:val="auto"/>
              </w:rPr>
            </w:pPr>
          </w:p>
          <w:p>
            <w:pPr>
              <w:rPr>
                <w:color w:val="auto"/>
              </w:rPr>
            </w:pPr>
          </w:p>
          <w:p>
            <w:pPr>
              <w:pStyle w:val="6"/>
              <w:rPr>
                <w:color w:val="auto"/>
              </w:rPr>
            </w:pPr>
          </w:p>
          <w:p>
            <w:pPr>
              <w:rPr>
                <w:color w:val="auto"/>
              </w:rPr>
            </w:pPr>
          </w:p>
          <w:p>
            <w:pPr>
              <w:pStyle w:val="6"/>
              <w:rPr>
                <w:color w:val="auto"/>
              </w:rPr>
            </w:pPr>
          </w:p>
          <w:p>
            <w:pPr>
              <w:rPr>
                <w:color w:val="auto"/>
              </w:rPr>
            </w:pPr>
          </w:p>
          <w:p>
            <w:pPr>
              <w:pStyle w:val="6"/>
              <w:rPr>
                <w:color w:val="auto"/>
              </w:rPr>
            </w:pPr>
          </w:p>
          <w:p>
            <w:pPr>
              <w:rPr>
                <w:color w:val="auto"/>
              </w:rPr>
            </w:pPr>
          </w:p>
          <w:p>
            <w:pPr>
              <w:pStyle w:val="6"/>
              <w:rPr>
                <w:color w:val="auto"/>
              </w:rPr>
            </w:pPr>
          </w:p>
          <w:p>
            <w:pPr>
              <w:rPr>
                <w:color w:val="auto"/>
              </w:rPr>
            </w:pPr>
          </w:p>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6" w:hRule="atLeast"/>
          <w:jc w:val="center"/>
        </w:trPr>
        <w:tc>
          <w:tcPr>
            <w:tcW w:w="454" w:type="dxa"/>
            <w:vAlign w:val="center"/>
          </w:tcPr>
          <w:p>
            <w:pPr>
              <w:adjustRightInd w:val="0"/>
              <w:snapToGrid w:val="0"/>
              <w:jc w:val="center"/>
              <w:rPr>
                <w:color w:val="auto"/>
                <w:kern w:val="0"/>
                <w:sz w:val="24"/>
              </w:rPr>
            </w:pPr>
            <w:r>
              <w:rPr>
                <w:color w:val="auto"/>
                <w:kern w:val="0"/>
                <w:sz w:val="24"/>
              </w:rPr>
              <w:t>环境</w:t>
            </w:r>
          </w:p>
          <w:p>
            <w:pPr>
              <w:adjustRightInd w:val="0"/>
              <w:snapToGrid w:val="0"/>
              <w:jc w:val="center"/>
              <w:rPr>
                <w:color w:val="auto"/>
                <w:kern w:val="0"/>
                <w:sz w:val="24"/>
              </w:rPr>
            </w:pPr>
            <w:r>
              <w:rPr>
                <w:color w:val="auto"/>
                <w:kern w:val="0"/>
                <w:sz w:val="24"/>
              </w:rPr>
              <w:t>保护</w:t>
            </w:r>
          </w:p>
          <w:p>
            <w:pPr>
              <w:adjustRightInd w:val="0"/>
              <w:snapToGrid w:val="0"/>
              <w:jc w:val="center"/>
              <w:rPr>
                <w:color w:val="auto"/>
                <w:kern w:val="0"/>
                <w:sz w:val="24"/>
              </w:rPr>
            </w:pPr>
            <w:r>
              <w:rPr>
                <w:color w:val="auto"/>
                <w:kern w:val="0"/>
                <w:sz w:val="24"/>
              </w:rPr>
              <w:t>目标</w:t>
            </w:r>
          </w:p>
        </w:tc>
        <w:tc>
          <w:tcPr>
            <w:tcW w:w="9005" w:type="dxa"/>
          </w:tcPr>
          <w:p>
            <w:pPr>
              <w:spacing w:line="360" w:lineRule="auto"/>
              <w:ind w:firstLine="482" w:firstLineChars="200"/>
              <w:rPr>
                <w:b/>
                <w:bCs/>
                <w:color w:val="auto"/>
                <w:sz w:val="24"/>
              </w:rPr>
            </w:pPr>
            <w:r>
              <w:rPr>
                <w:b/>
                <w:bCs/>
                <w:color w:val="auto"/>
                <w:sz w:val="24"/>
              </w:rPr>
              <w:t>3.2.1、环境保护目标</w:t>
            </w:r>
          </w:p>
          <w:p>
            <w:pPr>
              <w:pStyle w:val="80"/>
              <w:rPr>
                <w:color w:val="auto"/>
              </w:rPr>
            </w:pPr>
            <w:r>
              <w:rPr>
                <w:color w:val="auto"/>
              </w:rPr>
              <w:t>本项目区不涉及自然保护区、饮用水源保护区、风景名胜区、文物古迹等环境敏感区域，项目区周围主要为林地，居民点分布较为分散，根据项目特征和区域环境功能，以该项目为中心，项目主要保护目标列于表3-3、表3-4。项目环境保护目标分布图见附图5。</w:t>
            </w:r>
          </w:p>
          <w:p>
            <w:pPr>
              <w:pStyle w:val="9"/>
              <w:keepNext/>
              <w:rPr>
                <w:color w:val="auto"/>
              </w:rPr>
            </w:pPr>
            <w:r>
              <w:rPr>
                <w:color w:val="auto"/>
              </w:rPr>
              <w:t>表3-3    项目地表水、大气环境、声环境保护目标分布表</w:t>
            </w:r>
          </w:p>
          <w:tbl>
            <w:tblPr>
              <w:tblStyle w:val="25"/>
              <w:tblW w:w="87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251"/>
              <w:gridCol w:w="1251"/>
              <w:gridCol w:w="815"/>
              <w:gridCol w:w="863"/>
              <w:gridCol w:w="731"/>
              <w:gridCol w:w="1051"/>
              <w:gridCol w:w="1195"/>
              <w:gridCol w:w="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31" w:type="dxa"/>
                  <w:vMerge w:val="restart"/>
                  <w:vAlign w:val="center"/>
                </w:tcPr>
                <w:p>
                  <w:pPr>
                    <w:pStyle w:val="93"/>
                    <w:tabs>
                      <w:tab w:val="clear" w:pos="1021"/>
                    </w:tabs>
                    <w:snapToGrid w:val="0"/>
                    <w:spacing w:line="240" w:lineRule="auto"/>
                    <w:jc w:val="center"/>
                    <w:rPr>
                      <w:color w:val="auto"/>
                      <w:kern w:val="2"/>
                      <w:position w:val="0"/>
                      <w:sz w:val="18"/>
                      <w:szCs w:val="18"/>
                    </w:rPr>
                  </w:pPr>
                  <w:r>
                    <w:rPr>
                      <w:color w:val="auto"/>
                      <w:kern w:val="2"/>
                      <w:position w:val="0"/>
                      <w:sz w:val="18"/>
                      <w:szCs w:val="18"/>
                    </w:rPr>
                    <w:t>项目</w:t>
                  </w:r>
                </w:p>
              </w:tc>
              <w:tc>
                <w:tcPr>
                  <w:tcW w:w="2502" w:type="dxa"/>
                  <w:gridSpan w:val="2"/>
                  <w:vAlign w:val="center"/>
                </w:tcPr>
                <w:p>
                  <w:pPr>
                    <w:snapToGrid w:val="0"/>
                    <w:jc w:val="center"/>
                    <w:rPr>
                      <w:color w:val="auto"/>
                      <w:sz w:val="18"/>
                      <w:szCs w:val="18"/>
                    </w:rPr>
                  </w:pPr>
                  <w:r>
                    <w:rPr>
                      <w:color w:val="auto"/>
                      <w:sz w:val="18"/>
                      <w:szCs w:val="18"/>
                    </w:rPr>
                    <w:t>坐标（</w:t>
                  </w:r>
                  <w:r>
                    <w:rPr>
                      <w:color w:val="auto"/>
                      <w:sz w:val="18"/>
                      <w:szCs w:val="18"/>
                      <w:vertAlign w:val="superscript"/>
                    </w:rPr>
                    <w:t>O</w:t>
                  </w:r>
                  <w:r>
                    <w:rPr>
                      <w:color w:val="auto"/>
                      <w:sz w:val="18"/>
                      <w:szCs w:val="18"/>
                    </w:rPr>
                    <w:t>）</w:t>
                  </w:r>
                </w:p>
              </w:tc>
              <w:tc>
                <w:tcPr>
                  <w:tcW w:w="815" w:type="dxa"/>
                  <w:vMerge w:val="restart"/>
                  <w:vAlign w:val="center"/>
                </w:tcPr>
                <w:p>
                  <w:pPr>
                    <w:snapToGrid w:val="0"/>
                    <w:jc w:val="center"/>
                    <w:rPr>
                      <w:color w:val="auto"/>
                      <w:sz w:val="18"/>
                      <w:szCs w:val="18"/>
                    </w:rPr>
                  </w:pPr>
                  <w:r>
                    <w:rPr>
                      <w:color w:val="auto"/>
                      <w:sz w:val="18"/>
                      <w:szCs w:val="18"/>
                    </w:rPr>
                    <w:t>保护对象</w:t>
                  </w:r>
                </w:p>
              </w:tc>
              <w:tc>
                <w:tcPr>
                  <w:tcW w:w="863" w:type="dxa"/>
                  <w:vMerge w:val="restart"/>
                  <w:vAlign w:val="center"/>
                </w:tcPr>
                <w:p>
                  <w:pPr>
                    <w:snapToGrid w:val="0"/>
                    <w:jc w:val="center"/>
                    <w:rPr>
                      <w:color w:val="auto"/>
                      <w:sz w:val="18"/>
                      <w:szCs w:val="18"/>
                    </w:rPr>
                  </w:pPr>
                  <w:r>
                    <w:rPr>
                      <w:color w:val="auto"/>
                      <w:sz w:val="18"/>
                      <w:szCs w:val="18"/>
                    </w:rPr>
                    <w:t>保护内容</w:t>
                  </w:r>
                </w:p>
              </w:tc>
              <w:tc>
                <w:tcPr>
                  <w:tcW w:w="731" w:type="dxa"/>
                  <w:vMerge w:val="restart"/>
                  <w:vAlign w:val="center"/>
                </w:tcPr>
                <w:p>
                  <w:pPr>
                    <w:snapToGrid w:val="0"/>
                    <w:jc w:val="center"/>
                    <w:rPr>
                      <w:color w:val="auto"/>
                      <w:sz w:val="18"/>
                      <w:szCs w:val="18"/>
                    </w:rPr>
                  </w:pPr>
                  <w:r>
                    <w:rPr>
                      <w:color w:val="auto"/>
                      <w:sz w:val="18"/>
                      <w:szCs w:val="18"/>
                    </w:rPr>
                    <w:t>环境功能区</w:t>
                  </w:r>
                </w:p>
              </w:tc>
              <w:tc>
                <w:tcPr>
                  <w:tcW w:w="1051" w:type="dxa"/>
                  <w:vMerge w:val="restart"/>
                  <w:vAlign w:val="center"/>
                </w:tcPr>
                <w:p>
                  <w:pPr>
                    <w:snapToGrid w:val="0"/>
                    <w:jc w:val="center"/>
                    <w:rPr>
                      <w:color w:val="auto"/>
                      <w:sz w:val="18"/>
                      <w:szCs w:val="18"/>
                    </w:rPr>
                  </w:pPr>
                  <w:r>
                    <w:rPr>
                      <w:color w:val="auto"/>
                      <w:sz w:val="18"/>
                      <w:szCs w:val="18"/>
                    </w:rPr>
                    <w:t>相对项目方位</w:t>
                  </w:r>
                </w:p>
              </w:tc>
              <w:tc>
                <w:tcPr>
                  <w:tcW w:w="1195" w:type="dxa"/>
                  <w:vMerge w:val="restart"/>
                  <w:vAlign w:val="center"/>
                </w:tcPr>
                <w:p>
                  <w:pPr>
                    <w:snapToGrid w:val="0"/>
                    <w:jc w:val="center"/>
                    <w:rPr>
                      <w:color w:val="auto"/>
                      <w:sz w:val="18"/>
                      <w:szCs w:val="18"/>
                    </w:rPr>
                  </w:pPr>
                  <w:r>
                    <w:rPr>
                      <w:color w:val="auto"/>
                      <w:sz w:val="18"/>
                      <w:szCs w:val="18"/>
                    </w:rPr>
                    <w:t>相对厂界距离/m</w:t>
                  </w:r>
                </w:p>
              </w:tc>
              <w:tc>
                <w:tcPr>
                  <w:tcW w:w="891" w:type="dxa"/>
                  <w:vMerge w:val="restart"/>
                  <w:vAlign w:val="center"/>
                </w:tcPr>
                <w:p>
                  <w:pPr>
                    <w:snapToGrid w:val="0"/>
                    <w:jc w:val="center"/>
                    <w:rPr>
                      <w:color w:val="auto"/>
                      <w:sz w:val="18"/>
                      <w:szCs w:val="18"/>
                    </w:rPr>
                  </w:pPr>
                  <w:r>
                    <w:rPr>
                      <w:color w:val="auto"/>
                      <w:sz w:val="18"/>
                      <w:szCs w:val="18"/>
                    </w:rPr>
                    <w:t>相对高差/m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1" w:type="dxa"/>
                  <w:vMerge w:val="continue"/>
                  <w:vAlign w:val="center"/>
                </w:tcPr>
                <w:p>
                  <w:pPr>
                    <w:pStyle w:val="93"/>
                    <w:tabs>
                      <w:tab w:val="clear" w:pos="1021"/>
                    </w:tabs>
                    <w:snapToGrid w:val="0"/>
                    <w:spacing w:line="240" w:lineRule="auto"/>
                    <w:jc w:val="center"/>
                    <w:rPr>
                      <w:color w:val="auto"/>
                      <w:kern w:val="2"/>
                      <w:position w:val="0"/>
                      <w:sz w:val="18"/>
                      <w:szCs w:val="18"/>
                    </w:rPr>
                  </w:pPr>
                </w:p>
              </w:tc>
              <w:tc>
                <w:tcPr>
                  <w:tcW w:w="1251" w:type="dxa"/>
                  <w:vAlign w:val="center"/>
                </w:tcPr>
                <w:p>
                  <w:pPr>
                    <w:snapToGrid w:val="0"/>
                    <w:jc w:val="center"/>
                    <w:rPr>
                      <w:color w:val="auto"/>
                      <w:sz w:val="18"/>
                      <w:szCs w:val="18"/>
                    </w:rPr>
                  </w:pPr>
                  <w:r>
                    <w:rPr>
                      <w:color w:val="auto"/>
                      <w:sz w:val="18"/>
                      <w:szCs w:val="18"/>
                    </w:rPr>
                    <w:t>经度</w:t>
                  </w:r>
                </w:p>
              </w:tc>
              <w:tc>
                <w:tcPr>
                  <w:tcW w:w="1251" w:type="dxa"/>
                  <w:vAlign w:val="center"/>
                </w:tcPr>
                <w:p>
                  <w:pPr>
                    <w:snapToGrid w:val="0"/>
                    <w:jc w:val="center"/>
                    <w:rPr>
                      <w:color w:val="auto"/>
                      <w:sz w:val="18"/>
                      <w:szCs w:val="18"/>
                    </w:rPr>
                  </w:pPr>
                  <w:r>
                    <w:rPr>
                      <w:color w:val="auto"/>
                      <w:sz w:val="18"/>
                      <w:szCs w:val="18"/>
                    </w:rPr>
                    <w:t>纬度</w:t>
                  </w:r>
                </w:p>
              </w:tc>
              <w:tc>
                <w:tcPr>
                  <w:tcW w:w="815" w:type="dxa"/>
                  <w:vMerge w:val="continue"/>
                  <w:vAlign w:val="center"/>
                </w:tcPr>
                <w:p>
                  <w:pPr>
                    <w:snapToGrid w:val="0"/>
                    <w:jc w:val="center"/>
                    <w:rPr>
                      <w:color w:val="auto"/>
                      <w:sz w:val="18"/>
                      <w:szCs w:val="18"/>
                    </w:rPr>
                  </w:pPr>
                </w:p>
              </w:tc>
              <w:tc>
                <w:tcPr>
                  <w:tcW w:w="863" w:type="dxa"/>
                  <w:vMerge w:val="continue"/>
                  <w:vAlign w:val="center"/>
                </w:tcPr>
                <w:p>
                  <w:pPr>
                    <w:snapToGrid w:val="0"/>
                    <w:jc w:val="center"/>
                    <w:rPr>
                      <w:color w:val="auto"/>
                      <w:sz w:val="18"/>
                      <w:szCs w:val="18"/>
                    </w:rPr>
                  </w:pPr>
                </w:p>
              </w:tc>
              <w:tc>
                <w:tcPr>
                  <w:tcW w:w="731" w:type="dxa"/>
                  <w:vMerge w:val="continue"/>
                  <w:vAlign w:val="center"/>
                </w:tcPr>
                <w:p>
                  <w:pPr>
                    <w:snapToGrid w:val="0"/>
                    <w:jc w:val="center"/>
                    <w:rPr>
                      <w:color w:val="auto"/>
                      <w:sz w:val="18"/>
                      <w:szCs w:val="18"/>
                    </w:rPr>
                  </w:pPr>
                </w:p>
              </w:tc>
              <w:tc>
                <w:tcPr>
                  <w:tcW w:w="1051" w:type="dxa"/>
                  <w:vMerge w:val="continue"/>
                  <w:vAlign w:val="center"/>
                </w:tcPr>
                <w:p>
                  <w:pPr>
                    <w:snapToGrid w:val="0"/>
                    <w:jc w:val="center"/>
                    <w:rPr>
                      <w:color w:val="auto"/>
                      <w:sz w:val="18"/>
                      <w:szCs w:val="18"/>
                    </w:rPr>
                  </w:pPr>
                </w:p>
              </w:tc>
              <w:tc>
                <w:tcPr>
                  <w:tcW w:w="1195" w:type="dxa"/>
                  <w:vMerge w:val="continue"/>
                  <w:vAlign w:val="center"/>
                </w:tcPr>
                <w:p>
                  <w:pPr>
                    <w:snapToGrid w:val="0"/>
                    <w:jc w:val="center"/>
                    <w:rPr>
                      <w:color w:val="auto"/>
                      <w:sz w:val="18"/>
                      <w:szCs w:val="18"/>
                    </w:rPr>
                  </w:pPr>
                </w:p>
              </w:tc>
              <w:tc>
                <w:tcPr>
                  <w:tcW w:w="891" w:type="dxa"/>
                  <w:vMerge w:val="continue"/>
                  <w:vAlign w:val="center"/>
                </w:tcPr>
                <w:p>
                  <w:pPr>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1" w:type="dxa"/>
                  <w:vMerge w:val="restart"/>
                  <w:vAlign w:val="center"/>
                </w:tcPr>
                <w:p>
                  <w:pPr>
                    <w:snapToGrid w:val="0"/>
                    <w:jc w:val="center"/>
                    <w:rPr>
                      <w:color w:val="auto"/>
                      <w:sz w:val="18"/>
                      <w:szCs w:val="18"/>
                    </w:rPr>
                  </w:pPr>
                  <w:r>
                    <w:rPr>
                      <w:color w:val="auto"/>
                      <w:sz w:val="18"/>
                      <w:szCs w:val="18"/>
                    </w:rPr>
                    <w:t>环境空气</w:t>
                  </w:r>
                </w:p>
              </w:tc>
              <w:tc>
                <w:tcPr>
                  <w:tcW w:w="1251" w:type="dxa"/>
                  <w:vAlign w:val="center"/>
                </w:tcPr>
                <w:p>
                  <w:pPr>
                    <w:snapToGrid w:val="0"/>
                    <w:jc w:val="center"/>
                    <w:rPr>
                      <w:color w:val="auto"/>
                      <w:sz w:val="18"/>
                      <w:szCs w:val="18"/>
                    </w:rPr>
                  </w:pPr>
                  <w:r>
                    <w:rPr>
                      <w:color w:val="auto"/>
                      <w:sz w:val="18"/>
                      <w:szCs w:val="18"/>
                    </w:rPr>
                    <w:t>99.432340477</w:t>
                  </w:r>
                </w:p>
              </w:tc>
              <w:tc>
                <w:tcPr>
                  <w:tcW w:w="1251" w:type="dxa"/>
                  <w:vAlign w:val="center"/>
                </w:tcPr>
                <w:p>
                  <w:pPr>
                    <w:snapToGrid w:val="0"/>
                    <w:jc w:val="center"/>
                    <w:rPr>
                      <w:color w:val="auto"/>
                      <w:sz w:val="18"/>
                      <w:szCs w:val="18"/>
                    </w:rPr>
                  </w:pPr>
                  <w:r>
                    <w:rPr>
                      <w:color w:val="auto"/>
                      <w:sz w:val="18"/>
                      <w:szCs w:val="18"/>
                    </w:rPr>
                    <w:t>26.206221117</w:t>
                  </w:r>
                </w:p>
              </w:tc>
              <w:tc>
                <w:tcPr>
                  <w:tcW w:w="815" w:type="dxa"/>
                  <w:vAlign w:val="center"/>
                </w:tcPr>
                <w:p>
                  <w:pPr>
                    <w:snapToGrid w:val="0"/>
                    <w:jc w:val="center"/>
                    <w:rPr>
                      <w:color w:val="auto"/>
                      <w:sz w:val="18"/>
                      <w:szCs w:val="18"/>
                    </w:rPr>
                  </w:pPr>
                  <w:r>
                    <w:rPr>
                      <w:color w:val="auto"/>
                      <w:sz w:val="18"/>
                      <w:szCs w:val="18"/>
                    </w:rPr>
                    <w:t>中和村</w:t>
                  </w:r>
                </w:p>
              </w:tc>
              <w:tc>
                <w:tcPr>
                  <w:tcW w:w="863" w:type="dxa"/>
                  <w:vAlign w:val="center"/>
                </w:tcPr>
                <w:p>
                  <w:pPr>
                    <w:snapToGrid w:val="0"/>
                    <w:jc w:val="center"/>
                    <w:rPr>
                      <w:color w:val="auto"/>
                      <w:sz w:val="18"/>
                      <w:szCs w:val="18"/>
                    </w:rPr>
                  </w:pPr>
                  <w:r>
                    <w:rPr>
                      <w:color w:val="auto"/>
                      <w:sz w:val="18"/>
                      <w:szCs w:val="18"/>
                    </w:rPr>
                    <w:t>500人</w:t>
                  </w:r>
                </w:p>
              </w:tc>
              <w:tc>
                <w:tcPr>
                  <w:tcW w:w="731" w:type="dxa"/>
                  <w:vMerge w:val="restart"/>
                  <w:vAlign w:val="center"/>
                </w:tcPr>
                <w:p>
                  <w:pPr>
                    <w:snapToGrid w:val="0"/>
                    <w:jc w:val="center"/>
                    <w:rPr>
                      <w:color w:val="auto"/>
                      <w:sz w:val="18"/>
                      <w:szCs w:val="18"/>
                    </w:rPr>
                  </w:pPr>
                  <w:r>
                    <w:rPr>
                      <w:color w:val="auto"/>
                      <w:sz w:val="18"/>
                      <w:szCs w:val="18"/>
                    </w:rPr>
                    <w:t>二类功能区</w:t>
                  </w:r>
                </w:p>
              </w:tc>
              <w:tc>
                <w:tcPr>
                  <w:tcW w:w="1051" w:type="dxa"/>
                  <w:vAlign w:val="center"/>
                </w:tcPr>
                <w:p>
                  <w:pPr>
                    <w:snapToGrid w:val="0"/>
                    <w:jc w:val="center"/>
                    <w:rPr>
                      <w:color w:val="auto"/>
                      <w:sz w:val="18"/>
                      <w:szCs w:val="18"/>
                    </w:rPr>
                  </w:pPr>
                  <w:r>
                    <w:rPr>
                      <w:color w:val="auto"/>
                      <w:sz w:val="18"/>
                      <w:szCs w:val="18"/>
                    </w:rPr>
                    <w:t>S</w:t>
                  </w:r>
                </w:p>
              </w:tc>
              <w:tc>
                <w:tcPr>
                  <w:tcW w:w="1195" w:type="dxa"/>
                  <w:vAlign w:val="center"/>
                </w:tcPr>
                <w:p>
                  <w:pPr>
                    <w:snapToGrid w:val="0"/>
                    <w:jc w:val="center"/>
                    <w:rPr>
                      <w:color w:val="auto"/>
                      <w:sz w:val="18"/>
                      <w:szCs w:val="18"/>
                    </w:rPr>
                  </w:pPr>
                  <w:r>
                    <w:rPr>
                      <w:color w:val="auto"/>
                      <w:sz w:val="18"/>
                      <w:szCs w:val="18"/>
                    </w:rPr>
                    <w:t>100</w:t>
                  </w:r>
                </w:p>
              </w:tc>
              <w:tc>
                <w:tcPr>
                  <w:tcW w:w="891" w:type="dxa"/>
                  <w:vAlign w:val="center"/>
                </w:tcPr>
                <w:p>
                  <w:pPr>
                    <w:snapToGrid w:val="0"/>
                    <w:jc w:val="center"/>
                    <w:rPr>
                      <w:color w:val="auto"/>
                      <w:sz w:val="18"/>
                      <w:szCs w:val="18"/>
                    </w:rPr>
                  </w:pPr>
                  <w:r>
                    <w:rPr>
                      <w:color w:val="auto"/>
                      <w:sz w:val="18"/>
                      <w:szCs w:val="18"/>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1" w:type="dxa"/>
                  <w:vMerge w:val="continue"/>
                  <w:vAlign w:val="center"/>
                </w:tcPr>
                <w:p>
                  <w:pPr>
                    <w:snapToGrid w:val="0"/>
                    <w:jc w:val="center"/>
                    <w:rPr>
                      <w:color w:val="auto"/>
                      <w:sz w:val="18"/>
                      <w:szCs w:val="18"/>
                    </w:rPr>
                  </w:pPr>
                </w:p>
              </w:tc>
              <w:tc>
                <w:tcPr>
                  <w:tcW w:w="1251" w:type="dxa"/>
                  <w:vAlign w:val="center"/>
                </w:tcPr>
                <w:p>
                  <w:pPr>
                    <w:snapToGrid w:val="0"/>
                    <w:jc w:val="center"/>
                    <w:rPr>
                      <w:color w:val="auto"/>
                      <w:sz w:val="18"/>
                      <w:szCs w:val="18"/>
                    </w:rPr>
                  </w:pPr>
                  <w:r>
                    <w:rPr>
                      <w:color w:val="auto"/>
                      <w:sz w:val="18"/>
                      <w:szCs w:val="18"/>
                    </w:rPr>
                    <w:t>99.432467882</w:t>
                  </w:r>
                </w:p>
              </w:tc>
              <w:tc>
                <w:tcPr>
                  <w:tcW w:w="1251" w:type="dxa"/>
                  <w:vAlign w:val="center"/>
                </w:tcPr>
                <w:p>
                  <w:pPr>
                    <w:snapToGrid w:val="0"/>
                    <w:jc w:val="center"/>
                    <w:rPr>
                      <w:color w:val="auto"/>
                      <w:sz w:val="18"/>
                      <w:szCs w:val="18"/>
                    </w:rPr>
                  </w:pPr>
                  <w:r>
                    <w:rPr>
                      <w:color w:val="auto"/>
                      <w:sz w:val="18"/>
                      <w:szCs w:val="18"/>
                    </w:rPr>
                    <w:t>26.206374347</w:t>
                  </w:r>
                </w:p>
              </w:tc>
              <w:tc>
                <w:tcPr>
                  <w:tcW w:w="815" w:type="dxa"/>
                  <w:vAlign w:val="center"/>
                </w:tcPr>
                <w:p>
                  <w:pPr>
                    <w:snapToGrid w:val="0"/>
                    <w:jc w:val="center"/>
                    <w:rPr>
                      <w:color w:val="auto"/>
                      <w:sz w:val="18"/>
                      <w:szCs w:val="18"/>
                    </w:rPr>
                  </w:pPr>
                  <w:r>
                    <w:rPr>
                      <w:color w:val="auto"/>
                      <w:sz w:val="18"/>
                      <w:szCs w:val="18"/>
                    </w:rPr>
                    <w:t>居民散户</w:t>
                  </w:r>
                </w:p>
              </w:tc>
              <w:tc>
                <w:tcPr>
                  <w:tcW w:w="863" w:type="dxa"/>
                  <w:vAlign w:val="center"/>
                </w:tcPr>
                <w:p>
                  <w:pPr>
                    <w:snapToGrid w:val="0"/>
                    <w:jc w:val="center"/>
                    <w:rPr>
                      <w:color w:val="auto"/>
                      <w:sz w:val="18"/>
                      <w:szCs w:val="18"/>
                    </w:rPr>
                  </w:pPr>
                  <w:r>
                    <w:rPr>
                      <w:color w:val="auto"/>
                      <w:sz w:val="18"/>
                      <w:szCs w:val="18"/>
                    </w:rPr>
                    <w:t>50人</w:t>
                  </w:r>
                </w:p>
              </w:tc>
              <w:tc>
                <w:tcPr>
                  <w:tcW w:w="731" w:type="dxa"/>
                  <w:vMerge w:val="continue"/>
                  <w:vAlign w:val="center"/>
                </w:tcPr>
                <w:p>
                  <w:pPr>
                    <w:snapToGrid w:val="0"/>
                    <w:jc w:val="center"/>
                    <w:rPr>
                      <w:color w:val="auto"/>
                      <w:sz w:val="18"/>
                      <w:szCs w:val="18"/>
                    </w:rPr>
                  </w:pPr>
                </w:p>
              </w:tc>
              <w:tc>
                <w:tcPr>
                  <w:tcW w:w="1051" w:type="dxa"/>
                  <w:vAlign w:val="center"/>
                </w:tcPr>
                <w:p>
                  <w:pPr>
                    <w:snapToGrid w:val="0"/>
                    <w:jc w:val="center"/>
                    <w:rPr>
                      <w:color w:val="auto"/>
                      <w:sz w:val="18"/>
                      <w:szCs w:val="18"/>
                    </w:rPr>
                  </w:pPr>
                  <w:r>
                    <w:rPr>
                      <w:color w:val="auto"/>
                      <w:sz w:val="18"/>
                      <w:szCs w:val="18"/>
                    </w:rPr>
                    <w:t>N</w:t>
                  </w:r>
                </w:p>
              </w:tc>
              <w:tc>
                <w:tcPr>
                  <w:tcW w:w="1195" w:type="dxa"/>
                  <w:vAlign w:val="center"/>
                </w:tcPr>
                <w:p>
                  <w:pPr>
                    <w:snapToGrid w:val="0"/>
                    <w:jc w:val="center"/>
                    <w:rPr>
                      <w:rFonts w:hint="default" w:eastAsia="宋体"/>
                      <w:color w:val="auto"/>
                      <w:sz w:val="18"/>
                      <w:szCs w:val="18"/>
                      <w:lang w:val="en-US" w:eastAsia="zh-CN"/>
                    </w:rPr>
                  </w:pPr>
                  <w:r>
                    <w:rPr>
                      <w:rFonts w:hint="eastAsia"/>
                      <w:color w:val="auto"/>
                      <w:sz w:val="18"/>
                      <w:szCs w:val="18"/>
                      <w:lang w:val="en-US" w:eastAsia="zh-CN"/>
                    </w:rPr>
                    <w:t>60</w:t>
                  </w:r>
                </w:p>
              </w:tc>
              <w:tc>
                <w:tcPr>
                  <w:tcW w:w="891" w:type="dxa"/>
                  <w:vAlign w:val="center"/>
                </w:tcPr>
                <w:p>
                  <w:pPr>
                    <w:snapToGrid w:val="0"/>
                    <w:jc w:val="center"/>
                    <w:rPr>
                      <w:color w:val="auto"/>
                      <w:sz w:val="18"/>
                      <w:szCs w:val="18"/>
                    </w:rPr>
                  </w:pPr>
                  <w:r>
                    <w:rPr>
                      <w:color w:val="auto"/>
                      <w:sz w:val="18"/>
                      <w:szCs w:val="18"/>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1" w:type="dxa"/>
                  <w:vMerge w:val="continue"/>
                  <w:vAlign w:val="center"/>
                </w:tcPr>
                <w:p>
                  <w:pPr>
                    <w:snapToGrid w:val="0"/>
                    <w:jc w:val="center"/>
                    <w:rPr>
                      <w:color w:val="auto"/>
                      <w:sz w:val="18"/>
                      <w:szCs w:val="18"/>
                    </w:rPr>
                  </w:pPr>
                </w:p>
              </w:tc>
              <w:tc>
                <w:tcPr>
                  <w:tcW w:w="1251" w:type="dxa"/>
                  <w:vAlign w:val="center"/>
                </w:tcPr>
                <w:p>
                  <w:pPr>
                    <w:snapToGrid w:val="0"/>
                    <w:jc w:val="center"/>
                    <w:rPr>
                      <w:color w:val="auto"/>
                      <w:sz w:val="18"/>
                      <w:szCs w:val="18"/>
                    </w:rPr>
                  </w:pPr>
                  <w:r>
                    <w:rPr>
                      <w:color w:val="auto"/>
                      <w:sz w:val="18"/>
                      <w:szCs w:val="18"/>
                    </w:rPr>
                    <w:t>99.433066015</w:t>
                  </w:r>
                </w:p>
              </w:tc>
              <w:tc>
                <w:tcPr>
                  <w:tcW w:w="1251" w:type="dxa"/>
                  <w:vAlign w:val="center"/>
                </w:tcPr>
                <w:p>
                  <w:pPr>
                    <w:snapToGrid w:val="0"/>
                    <w:jc w:val="center"/>
                    <w:rPr>
                      <w:color w:val="auto"/>
                      <w:sz w:val="18"/>
                      <w:szCs w:val="18"/>
                    </w:rPr>
                  </w:pPr>
                  <w:r>
                    <w:rPr>
                      <w:color w:val="auto"/>
                      <w:sz w:val="18"/>
                      <w:szCs w:val="18"/>
                    </w:rPr>
                    <w:t>26.199809641</w:t>
                  </w:r>
                </w:p>
              </w:tc>
              <w:tc>
                <w:tcPr>
                  <w:tcW w:w="815" w:type="dxa"/>
                  <w:vAlign w:val="center"/>
                </w:tcPr>
                <w:p>
                  <w:pPr>
                    <w:snapToGrid w:val="0"/>
                    <w:jc w:val="center"/>
                    <w:rPr>
                      <w:color w:val="auto"/>
                      <w:sz w:val="18"/>
                      <w:szCs w:val="18"/>
                    </w:rPr>
                  </w:pPr>
                  <w:r>
                    <w:rPr>
                      <w:color w:val="auto"/>
                      <w:sz w:val="18"/>
                      <w:szCs w:val="18"/>
                    </w:rPr>
                    <w:t>振华环保小学</w:t>
                  </w:r>
                </w:p>
              </w:tc>
              <w:tc>
                <w:tcPr>
                  <w:tcW w:w="863" w:type="dxa"/>
                  <w:vAlign w:val="center"/>
                </w:tcPr>
                <w:p>
                  <w:pPr>
                    <w:snapToGrid w:val="0"/>
                    <w:jc w:val="center"/>
                    <w:rPr>
                      <w:color w:val="auto"/>
                      <w:sz w:val="18"/>
                      <w:szCs w:val="18"/>
                    </w:rPr>
                  </w:pPr>
                  <w:r>
                    <w:rPr>
                      <w:color w:val="auto"/>
                      <w:sz w:val="18"/>
                      <w:szCs w:val="18"/>
                    </w:rPr>
                    <w:t>500人</w:t>
                  </w:r>
                </w:p>
              </w:tc>
              <w:tc>
                <w:tcPr>
                  <w:tcW w:w="731" w:type="dxa"/>
                  <w:vMerge w:val="continue"/>
                  <w:vAlign w:val="center"/>
                </w:tcPr>
                <w:p>
                  <w:pPr>
                    <w:snapToGrid w:val="0"/>
                    <w:jc w:val="center"/>
                    <w:rPr>
                      <w:color w:val="auto"/>
                      <w:sz w:val="18"/>
                      <w:szCs w:val="18"/>
                    </w:rPr>
                  </w:pPr>
                </w:p>
              </w:tc>
              <w:tc>
                <w:tcPr>
                  <w:tcW w:w="1051" w:type="dxa"/>
                  <w:vAlign w:val="center"/>
                </w:tcPr>
                <w:p>
                  <w:pPr>
                    <w:snapToGrid w:val="0"/>
                    <w:jc w:val="center"/>
                    <w:rPr>
                      <w:color w:val="auto"/>
                      <w:sz w:val="18"/>
                      <w:szCs w:val="18"/>
                    </w:rPr>
                  </w:pPr>
                  <w:r>
                    <w:rPr>
                      <w:color w:val="auto"/>
                      <w:sz w:val="18"/>
                      <w:szCs w:val="18"/>
                    </w:rPr>
                    <w:t>S</w:t>
                  </w:r>
                </w:p>
              </w:tc>
              <w:tc>
                <w:tcPr>
                  <w:tcW w:w="1195" w:type="dxa"/>
                  <w:vAlign w:val="center"/>
                </w:tcPr>
                <w:p>
                  <w:pPr>
                    <w:snapToGrid w:val="0"/>
                    <w:jc w:val="center"/>
                    <w:rPr>
                      <w:rFonts w:hint="default" w:eastAsia="宋体"/>
                      <w:color w:val="auto"/>
                      <w:sz w:val="18"/>
                      <w:szCs w:val="18"/>
                      <w:lang w:val="en-US" w:eastAsia="zh-CN"/>
                    </w:rPr>
                  </w:pPr>
                  <w:r>
                    <w:rPr>
                      <w:color w:val="auto"/>
                      <w:sz w:val="18"/>
                      <w:szCs w:val="18"/>
                    </w:rPr>
                    <w:t>4</w:t>
                  </w:r>
                  <w:r>
                    <w:rPr>
                      <w:rFonts w:hint="eastAsia"/>
                      <w:color w:val="auto"/>
                      <w:sz w:val="18"/>
                      <w:szCs w:val="18"/>
                      <w:lang w:val="en-US" w:eastAsia="zh-CN"/>
                    </w:rPr>
                    <w:t>20</w:t>
                  </w:r>
                </w:p>
              </w:tc>
              <w:tc>
                <w:tcPr>
                  <w:tcW w:w="891" w:type="dxa"/>
                  <w:vAlign w:val="center"/>
                </w:tcPr>
                <w:p>
                  <w:pPr>
                    <w:snapToGrid w:val="0"/>
                    <w:jc w:val="center"/>
                    <w:rPr>
                      <w:color w:val="auto"/>
                      <w:sz w:val="18"/>
                      <w:szCs w:val="18"/>
                    </w:rPr>
                  </w:pPr>
                  <w:r>
                    <w:rPr>
                      <w:color w:val="auto"/>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1" w:type="dxa"/>
                  <w:vMerge w:val="continue"/>
                  <w:vAlign w:val="center"/>
                </w:tcPr>
                <w:p>
                  <w:pPr>
                    <w:snapToGrid w:val="0"/>
                    <w:jc w:val="center"/>
                    <w:rPr>
                      <w:color w:val="auto"/>
                      <w:sz w:val="18"/>
                      <w:szCs w:val="18"/>
                    </w:rPr>
                  </w:pPr>
                </w:p>
              </w:tc>
              <w:tc>
                <w:tcPr>
                  <w:tcW w:w="1251" w:type="dxa"/>
                  <w:vAlign w:val="center"/>
                </w:tcPr>
                <w:p>
                  <w:pPr>
                    <w:snapToGrid w:val="0"/>
                    <w:jc w:val="center"/>
                    <w:rPr>
                      <w:color w:val="auto"/>
                      <w:sz w:val="18"/>
                      <w:szCs w:val="18"/>
                    </w:rPr>
                  </w:pPr>
                  <w:r>
                    <w:rPr>
                      <w:color w:val="auto"/>
                      <w:sz w:val="18"/>
                      <w:szCs w:val="18"/>
                    </w:rPr>
                    <w:t>99.433052603</w:t>
                  </w:r>
                </w:p>
              </w:tc>
              <w:tc>
                <w:tcPr>
                  <w:tcW w:w="1251" w:type="dxa"/>
                  <w:vAlign w:val="center"/>
                </w:tcPr>
                <w:p>
                  <w:pPr>
                    <w:snapToGrid w:val="0"/>
                    <w:jc w:val="center"/>
                    <w:rPr>
                      <w:color w:val="auto"/>
                      <w:sz w:val="18"/>
                      <w:szCs w:val="18"/>
                    </w:rPr>
                  </w:pPr>
                  <w:r>
                    <w:rPr>
                      <w:color w:val="auto"/>
                      <w:sz w:val="18"/>
                      <w:szCs w:val="18"/>
                    </w:rPr>
                    <w:t>26.205735982</w:t>
                  </w:r>
                </w:p>
              </w:tc>
              <w:tc>
                <w:tcPr>
                  <w:tcW w:w="815" w:type="dxa"/>
                  <w:vAlign w:val="center"/>
                </w:tcPr>
                <w:p>
                  <w:pPr>
                    <w:snapToGrid w:val="0"/>
                    <w:jc w:val="center"/>
                    <w:rPr>
                      <w:color w:val="auto"/>
                      <w:sz w:val="18"/>
                      <w:szCs w:val="18"/>
                    </w:rPr>
                  </w:pPr>
                  <w:r>
                    <w:rPr>
                      <w:color w:val="auto"/>
                      <w:sz w:val="18"/>
                      <w:szCs w:val="18"/>
                    </w:rPr>
                    <w:t>变电站</w:t>
                  </w:r>
                </w:p>
              </w:tc>
              <w:tc>
                <w:tcPr>
                  <w:tcW w:w="863" w:type="dxa"/>
                  <w:vAlign w:val="center"/>
                </w:tcPr>
                <w:p>
                  <w:pPr>
                    <w:snapToGrid w:val="0"/>
                    <w:jc w:val="center"/>
                    <w:rPr>
                      <w:color w:val="auto"/>
                      <w:sz w:val="18"/>
                      <w:szCs w:val="18"/>
                    </w:rPr>
                  </w:pPr>
                  <w:r>
                    <w:rPr>
                      <w:color w:val="auto"/>
                      <w:sz w:val="18"/>
                      <w:szCs w:val="18"/>
                    </w:rPr>
                    <w:t>5人</w:t>
                  </w:r>
                </w:p>
              </w:tc>
              <w:tc>
                <w:tcPr>
                  <w:tcW w:w="731" w:type="dxa"/>
                  <w:vMerge w:val="continue"/>
                  <w:vAlign w:val="center"/>
                </w:tcPr>
                <w:p>
                  <w:pPr>
                    <w:snapToGrid w:val="0"/>
                    <w:jc w:val="center"/>
                    <w:rPr>
                      <w:color w:val="auto"/>
                      <w:sz w:val="18"/>
                      <w:szCs w:val="18"/>
                    </w:rPr>
                  </w:pPr>
                </w:p>
              </w:tc>
              <w:tc>
                <w:tcPr>
                  <w:tcW w:w="1051" w:type="dxa"/>
                  <w:vAlign w:val="center"/>
                </w:tcPr>
                <w:p>
                  <w:pPr>
                    <w:snapToGrid w:val="0"/>
                    <w:jc w:val="center"/>
                    <w:rPr>
                      <w:color w:val="auto"/>
                      <w:sz w:val="18"/>
                      <w:szCs w:val="18"/>
                    </w:rPr>
                  </w:pPr>
                  <w:r>
                    <w:rPr>
                      <w:color w:val="auto"/>
                      <w:sz w:val="18"/>
                      <w:szCs w:val="18"/>
                    </w:rPr>
                    <w:t>E</w:t>
                  </w:r>
                </w:p>
              </w:tc>
              <w:tc>
                <w:tcPr>
                  <w:tcW w:w="1195" w:type="dxa"/>
                  <w:vAlign w:val="center"/>
                </w:tcPr>
                <w:p>
                  <w:pPr>
                    <w:snapToGrid w:val="0"/>
                    <w:jc w:val="center"/>
                    <w:rPr>
                      <w:color w:val="auto"/>
                      <w:sz w:val="18"/>
                      <w:szCs w:val="18"/>
                    </w:rPr>
                  </w:pPr>
                  <w:r>
                    <w:rPr>
                      <w:color w:val="auto"/>
                      <w:sz w:val="18"/>
                      <w:szCs w:val="18"/>
                    </w:rPr>
                    <w:t>60</w:t>
                  </w:r>
                </w:p>
              </w:tc>
              <w:tc>
                <w:tcPr>
                  <w:tcW w:w="891" w:type="dxa"/>
                  <w:vAlign w:val="center"/>
                </w:tcPr>
                <w:p>
                  <w:pPr>
                    <w:snapToGrid w:val="0"/>
                    <w:jc w:val="center"/>
                    <w:rPr>
                      <w:color w:val="auto"/>
                      <w:sz w:val="18"/>
                      <w:szCs w:val="18"/>
                    </w:rPr>
                  </w:pPr>
                  <w:r>
                    <w:rPr>
                      <w:color w:val="auto"/>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1" w:type="dxa"/>
                  <w:vAlign w:val="center"/>
                </w:tcPr>
                <w:p>
                  <w:pPr>
                    <w:snapToGrid w:val="0"/>
                    <w:jc w:val="center"/>
                    <w:rPr>
                      <w:color w:val="auto"/>
                      <w:sz w:val="18"/>
                      <w:szCs w:val="18"/>
                    </w:rPr>
                  </w:pPr>
                  <w:r>
                    <w:rPr>
                      <w:color w:val="auto"/>
                      <w:sz w:val="18"/>
                      <w:szCs w:val="18"/>
                    </w:rPr>
                    <w:t>声环境</w:t>
                  </w:r>
                </w:p>
              </w:tc>
              <w:tc>
                <w:tcPr>
                  <w:tcW w:w="8048" w:type="dxa"/>
                  <w:gridSpan w:val="8"/>
                  <w:vAlign w:val="center"/>
                </w:tcPr>
                <w:p>
                  <w:pPr>
                    <w:snapToGrid w:val="0"/>
                    <w:jc w:val="center"/>
                    <w:rPr>
                      <w:color w:val="auto"/>
                      <w:sz w:val="18"/>
                      <w:szCs w:val="18"/>
                    </w:rPr>
                  </w:pPr>
                  <w:r>
                    <w:rPr>
                      <w:color w:val="auto"/>
                      <w:sz w:val="18"/>
                      <w:szCs w:val="18"/>
                    </w:rPr>
                    <w:t>项目厂界外50m范围内无声环境保护目标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1" w:type="dxa"/>
                  <w:vAlign w:val="center"/>
                </w:tcPr>
                <w:p>
                  <w:pPr>
                    <w:snapToGrid w:val="0"/>
                    <w:jc w:val="center"/>
                    <w:rPr>
                      <w:color w:val="auto"/>
                      <w:sz w:val="18"/>
                      <w:szCs w:val="18"/>
                    </w:rPr>
                  </w:pPr>
                  <w:r>
                    <w:rPr>
                      <w:color w:val="auto"/>
                      <w:sz w:val="18"/>
                      <w:szCs w:val="18"/>
                    </w:rPr>
                    <w:t>地表水环境</w:t>
                  </w:r>
                </w:p>
              </w:tc>
              <w:tc>
                <w:tcPr>
                  <w:tcW w:w="1251" w:type="dxa"/>
                  <w:vAlign w:val="center"/>
                </w:tcPr>
                <w:p>
                  <w:pPr>
                    <w:snapToGrid w:val="0"/>
                    <w:jc w:val="center"/>
                    <w:rPr>
                      <w:color w:val="auto"/>
                      <w:sz w:val="18"/>
                      <w:szCs w:val="18"/>
                    </w:rPr>
                  </w:pPr>
                  <w:r>
                    <w:rPr>
                      <w:color w:val="auto"/>
                      <w:sz w:val="18"/>
                      <w:szCs w:val="18"/>
                    </w:rPr>
                    <w:t>99.435496096</w:t>
                  </w:r>
                </w:p>
              </w:tc>
              <w:tc>
                <w:tcPr>
                  <w:tcW w:w="1251" w:type="dxa"/>
                  <w:vAlign w:val="center"/>
                </w:tcPr>
                <w:p>
                  <w:pPr>
                    <w:snapToGrid w:val="0"/>
                    <w:jc w:val="center"/>
                    <w:rPr>
                      <w:color w:val="auto"/>
                      <w:sz w:val="18"/>
                      <w:szCs w:val="18"/>
                    </w:rPr>
                  </w:pPr>
                  <w:r>
                    <w:rPr>
                      <w:color w:val="auto"/>
                      <w:sz w:val="18"/>
                      <w:szCs w:val="18"/>
                    </w:rPr>
                    <w:t>26.207766083</w:t>
                  </w:r>
                </w:p>
              </w:tc>
              <w:tc>
                <w:tcPr>
                  <w:tcW w:w="815" w:type="dxa"/>
                  <w:vAlign w:val="center"/>
                </w:tcPr>
                <w:p>
                  <w:pPr>
                    <w:snapToGrid w:val="0"/>
                    <w:jc w:val="center"/>
                    <w:rPr>
                      <w:color w:val="auto"/>
                      <w:sz w:val="18"/>
                      <w:szCs w:val="18"/>
                    </w:rPr>
                  </w:pPr>
                  <w:r>
                    <w:rPr>
                      <w:color w:val="auto"/>
                      <w:sz w:val="18"/>
                      <w:szCs w:val="18"/>
                    </w:rPr>
                    <w:t>沘江</w:t>
                  </w:r>
                </w:p>
              </w:tc>
              <w:tc>
                <w:tcPr>
                  <w:tcW w:w="863" w:type="dxa"/>
                  <w:vAlign w:val="center"/>
                </w:tcPr>
                <w:p>
                  <w:pPr>
                    <w:snapToGrid w:val="0"/>
                    <w:jc w:val="center"/>
                    <w:rPr>
                      <w:color w:val="auto"/>
                      <w:sz w:val="18"/>
                      <w:szCs w:val="18"/>
                    </w:rPr>
                  </w:pPr>
                  <w:r>
                    <w:rPr>
                      <w:color w:val="auto"/>
                      <w:sz w:val="18"/>
                      <w:szCs w:val="18"/>
                    </w:rPr>
                    <w:t>不影响其功能</w:t>
                  </w:r>
                </w:p>
              </w:tc>
              <w:tc>
                <w:tcPr>
                  <w:tcW w:w="731" w:type="dxa"/>
                  <w:vAlign w:val="center"/>
                </w:tcPr>
                <w:p>
                  <w:pPr>
                    <w:snapToGrid w:val="0"/>
                    <w:jc w:val="center"/>
                    <w:rPr>
                      <w:color w:val="auto"/>
                      <w:sz w:val="18"/>
                      <w:szCs w:val="18"/>
                    </w:rPr>
                  </w:pPr>
                  <w:r>
                    <w:rPr>
                      <w:color w:val="auto"/>
                      <w:sz w:val="18"/>
                      <w:szCs w:val="18"/>
                    </w:rPr>
                    <w:t>Ⅲ类</w:t>
                  </w:r>
                </w:p>
              </w:tc>
              <w:tc>
                <w:tcPr>
                  <w:tcW w:w="1051" w:type="dxa"/>
                  <w:vAlign w:val="center"/>
                </w:tcPr>
                <w:p>
                  <w:pPr>
                    <w:snapToGrid w:val="0"/>
                    <w:jc w:val="center"/>
                    <w:rPr>
                      <w:color w:val="auto"/>
                      <w:sz w:val="18"/>
                      <w:szCs w:val="18"/>
                    </w:rPr>
                  </w:pPr>
                  <w:r>
                    <w:rPr>
                      <w:color w:val="auto"/>
                      <w:sz w:val="18"/>
                      <w:szCs w:val="18"/>
                    </w:rPr>
                    <w:t>E</w:t>
                  </w:r>
                </w:p>
              </w:tc>
              <w:tc>
                <w:tcPr>
                  <w:tcW w:w="1195" w:type="dxa"/>
                  <w:vAlign w:val="center"/>
                </w:tcPr>
                <w:p>
                  <w:pPr>
                    <w:snapToGrid w:val="0"/>
                    <w:jc w:val="center"/>
                    <w:rPr>
                      <w:color w:val="auto"/>
                      <w:sz w:val="18"/>
                      <w:szCs w:val="18"/>
                    </w:rPr>
                  </w:pPr>
                  <w:r>
                    <w:rPr>
                      <w:color w:val="auto"/>
                      <w:sz w:val="18"/>
                      <w:szCs w:val="18"/>
                    </w:rPr>
                    <w:t>420</w:t>
                  </w:r>
                </w:p>
              </w:tc>
              <w:tc>
                <w:tcPr>
                  <w:tcW w:w="891" w:type="dxa"/>
                  <w:vAlign w:val="center"/>
                </w:tcPr>
                <w:p>
                  <w:pPr>
                    <w:snapToGrid w:val="0"/>
                    <w:jc w:val="center"/>
                    <w:rPr>
                      <w:color w:val="auto"/>
                      <w:sz w:val="18"/>
                      <w:szCs w:val="18"/>
                    </w:rPr>
                  </w:pPr>
                  <w:r>
                    <w:rPr>
                      <w:color w:val="auto"/>
                      <w:sz w:val="18"/>
                      <w:szCs w:val="18"/>
                    </w:rPr>
                    <w:t>-127m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1" w:type="dxa"/>
                  <w:vAlign w:val="center"/>
                </w:tcPr>
                <w:p>
                  <w:pPr>
                    <w:snapToGrid w:val="0"/>
                    <w:jc w:val="center"/>
                    <w:rPr>
                      <w:color w:val="auto"/>
                      <w:sz w:val="18"/>
                      <w:szCs w:val="18"/>
                    </w:rPr>
                  </w:pPr>
                  <w:r>
                    <w:rPr>
                      <w:color w:val="auto"/>
                      <w:sz w:val="18"/>
                      <w:szCs w:val="18"/>
                    </w:rPr>
                    <w:t>地下水环境</w:t>
                  </w:r>
                </w:p>
              </w:tc>
              <w:tc>
                <w:tcPr>
                  <w:tcW w:w="8048" w:type="dxa"/>
                  <w:gridSpan w:val="8"/>
                  <w:vAlign w:val="center"/>
                </w:tcPr>
                <w:p>
                  <w:pPr>
                    <w:snapToGrid w:val="0"/>
                    <w:jc w:val="center"/>
                    <w:rPr>
                      <w:color w:val="auto"/>
                      <w:sz w:val="18"/>
                      <w:szCs w:val="18"/>
                    </w:rPr>
                  </w:pPr>
                  <w:r>
                    <w:rPr>
                      <w:color w:val="auto"/>
                      <w:sz w:val="18"/>
                      <w:szCs w:val="18"/>
                    </w:rPr>
                    <w:t>项目厂界外500m范围内无地下水集中饮用水水源、热水、矿泉水、温泉等特殊地下水保护目标</w:t>
                  </w:r>
                </w:p>
              </w:tc>
            </w:tr>
          </w:tbl>
          <w:p>
            <w:pPr>
              <w:pStyle w:val="9"/>
              <w:keepNext/>
              <w:rPr>
                <w:color w:val="auto"/>
              </w:rPr>
            </w:pPr>
            <w:bookmarkStart w:id="14" w:name="_Ref450229883"/>
            <w:r>
              <w:rPr>
                <w:color w:val="auto"/>
              </w:rPr>
              <w:t>表</w:t>
            </w:r>
            <w:bookmarkEnd w:id="14"/>
            <w:r>
              <w:rPr>
                <w:color w:val="auto"/>
              </w:rPr>
              <w:t>3-4    其他环境保护目标分布表</w:t>
            </w:r>
          </w:p>
          <w:tbl>
            <w:tblPr>
              <w:tblStyle w:val="25"/>
              <w:tblW w:w="87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2"/>
              <w:gridCol w:w="1647"/>
              <w:gridCol w:w="2477"/>
              <w:gridCol w:w="934"/>
              <w:gridCol w:w="2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52" w:type="dxa"/>
                  <w:vAlign w:val="center"/>
                </w:tcPr>
                <w:p>
                  <w:pPr>
                    <w:pStyle w:val="75"/>
                    <w:spacing w:before="24" w:after="24"/>
                    <w:rPr>
                      <w:color w:val="auto"/>
                    </w:rPr>
                  </w:pPr>
                  <w:r>
                    <w:rPr>
                      <w:color w:val="auto"/>
                    </w:rPr>
                    <w:t>项目</w:t>
                  </w:r>
                </w:p>
              </w:tc>
              <w:tc>
                <w:tcPr>
                  <w:tcW w:w="1647" w:type="dxa"/>
                  <w:vAlign w:val="center"/>
                </w:tcPr>
                <w:p>
                  <w:pPr>
                    <w:pStyle w:val="75"/>
                    <w:spacing w:before="24" w:after="24"/>
                    <w:rPr>
                      <w:color w:val="auto"/>
                    </w:rPr>
                  </w:pPr>
                  <w:r>
                    <w:rPr>
                      <w:color w:val="auto"/>
                    </w:rPr>
                    <w:t>保护目标</w:t>
                  </w:r>
                </w:p>
              </w:tc>
              <w:tc>
                <w:tcPr>
                  <w:tcW w:w="2477" w:type="dxa"/>
                  <w:vAlign w:val="center"/>
                </w:tcPr>
                <w:p>
                  <w:pPr>
                    <w:pStyle w:val="75"/>
                    <w:spacing w:before="24" w:after="24"/>
                    <w:rPr>
                      <w:color w:val="auto"/>
                    </w:rPr>
                  </w:pPr>
                  <w:r>
                    <w:rPr>
                      <w:color w:val="auto"/>
                    </w:rPr>
                    <w:t>相对方位及距离</w:t>
                  </w:r>
                </w:p>
              </w:tc>
              <w:tc>
                <w:tcPr>
                  <w:tcW w:w="934" w:type="dxa"/>
                  <w:vAlign w:val="center"/>
                </w:tcPr>
                <w:p>
                  <w:pPr>
                    <w:pStyle w:val="75"/>
                    <w:spacing w:before="24" w:after="24"/>
                    <w:rPr>
                      <w:color w:val="auto"/>
                    </w:rPr>
                  </w:pPr>
                  <w:r>
                    <w:rPr>
                      <w:color w:val="auto"/>
                    </w:rPr>
                    <w:t>功能</w:t>
                  </w:r>
                </w:p>
              </w:tc>
              <w:tc>
                <w:tcPr>
                  <w:tcW w:w="2169" w:type="dxa"/>
                  <w:vAlign w:val="center"/>
                </w:tcPr>
                <w:p>
                  <w:pPr>
                    <w:pStyle w:val="75"/>
                    <w:spacing w:before="24" w:after="24"/>
                    <w:rPr>
                      <w:color w:val="auto"/>
                    </w:rPr>
                  </w:pPr>
                  <w:r>
                    <w:rPr>
                      <w:color w:val="auto"/>
                    </w:rPr>
                    <w:t>保护级别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52" w:type="dxa"/>
                  <w:vAlign w:val="center"/>
                </w:tcPr>
                <w:p>
                  <w:pPr>
                    <w:pStyle w:val="75"/>
                    <w:spacing w:before="24" w:after="24"/>
                    <w:rPr>
                      <w:color w:val="auto"/>
                    </w:rPr>
                  </w:pPr>
                  <w:r>
                    <w:rPr>
                      <w:color w:val="auto"/>
                    </w:rPr>
                    <w:t>社会环境</w:t>
                  </w:r>
                </w:p>
              </w:tc>
              <w:tc>
                <w:tcPr>
                  <w:tcW w:w="1647" w:type="dxa"/>
                  <w:vAlign w:val="center"/>
                </w:tcPr>
                <w:p>
                  <w:pPr>
                    <w:pStyle w:val="75"/>
                    <w:spacing w:before="24" w:after="24"/>
                    <w:rPr>
                      <w:color w:val="auto"/>
                    </w:rPr>
                  </w:pPr>
                  <w:r>
                    <w:rPr>
                      <w:color w:val="auto"/>
                    </w:rPr>
                    <w:t>S227省道（G215）</w:t>
                  </w:r>
                </w:p>
              </w:tc>
              <w:tc>
                <w:tcPr>
                  <w:tcW w:w="2477" w:type="dxa"/>
                  <w:vAlign w:val="center"/>
                </w:tcPr>
                <w:p>
                  <w:pPr>
                    <w:pStyle w:val="75"/>
                    <w:spacing w:before="24" w:after="24"/>
                    <w:rPr>
                      <w:color w:val="auto"/>
                    </w:rPr>
                  </w:pPr>
                  <w:r>
                    <w:rPr>
                      <w:color w:val="auto"/>
                    </w:rPr>
                    <w:t>东侧30m</w:t>
                  </w:r>
                </w:p>
              </w:tc>
              <w:tc>
                <w:tcPr>
                  <w:tcW w:w="934" w:type="dxa"/>
                  <w:vAlign w:val="center"/>
                </w:tcPr>
                <w:p>
                  <w:pPr>
                    <w:pStyle w:val="75"/>
                    <w:spacing w:before="24" w:after="24"/>
                    <w:rPr>
                      <w:color w:val="auto"/>
                    </w:rPr>
                  </w:pPr>
                  <w:r>
                    <w:rPr>
                      <w:color w:val="auto"/>
                    </w:rPr>
                    <w:t>通行</w:t>
                  </w:r>
                </w:p>
              </w:tc>
              <w:tc>
                <w:tcPr>
                  <w:tcW w:w="2169" w:type="dxa"/>
                  <w:vAlign w:val="center"/>
                </w:tcPr>
                <w:p>
                  <w:pPr>
                    <w:pStyle w:val="75"/>
                    <w:spacing w:before="24" w:after="24"/>
                    <w:rPr>
                      <w:color w:val="auto"/>
                    </w:rPr>
                  </w:pPr>
                  <w:r>
                    <w:rPr>
                      <w:color w:val="auto"/>
                    </w:rPr>
                    <w:t>不影响其通行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52" w:type="dxa"/>
                  <w:vAlign w:val="center"/>
                </w:tcPr>
                <w:p>
                  <w:pPr>
                    <w:pStyle w:val="75"/>
                    <w:spacing w:before="24" w:after="24"/>
                    <w:rPr>
                      <w:color w:val="auto"/>
                    </w:rPr>
                  </w:pPr>
                  <w:r>
                    <w:rPr>
                      <w:color w:val="auto"/>
                    </w:rPr>
                    <w:t>生态环境</w:t>
                  </w:r>
                </w:p>
              </w:tc>
              <w:tc>
                <w:tcPr>
                  <w:tcW w:w="5058" w:type="dxa"/>
                  <w:gridSpan w:val="3"/>
                  <w:vAlign w:val="center"/>
                </w:tcPr>
                <w:p>
                  <w:pPr>
                    <w:pStyle w:val="75"/>
                    <w:spacing w:before="24" w:after="24"/>
                    <w:rPr>
                      <w:color w:val="auto"/>
                    </w:rPr>
                  </w:pPr>
                  <w:r>
                    <w:rPr>
                      <w:color w:val="auto"/>
                    </w:rPr>
                    <w:t>项目周边200m范围内植被</w:t>
                  </w:r>
                </w:p>
              </w:tc>
              <w:tc>
                <w:tcPr>
                  <w:tcW w:w="2169" w:type="dxa"/>
                  <w:vAlign w:val="center"/>
                </w:tcPr>
                <w:p>
                  <w:pPr>
                    <w:pStyle w:val="75"/>
                    <w:spacing w:before="24" w:after="24"/>
                    <w:rPr>
                      <w:color w:val="auto"/>
                    </w:rPr>
                  </w:pPr>
                  <w:r>
                    <w:rPr>
                      <w:color w:val="auto"/>
                    </w:rPr>
                    <w:t>不影响其功能</w:t>
                  </w:r>
                </w:p>
              </w:tc>
            </w:tr>
          </w:tbl>
          <w:p>
            <w:pPr>
              <w:pStyle w:val="6"/>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0" w:hRule="atLeast"/>
          <w:jc w:val="center"/>
        </w:trPr>
        <w:tc>
          <w:tcPr>
            <w:tcW w:w="454" w:type="dxa"/>
            <w:tcMar>
              <w:left w:w="28" w:type="dxa"/>
              <w:right w:w="28" w:type="dxa"/>
            </w:tcMar>
            <w:vAlign w:val="center"/>
          </w:tcPr>
          <w:p>
            <w:pPr>
              <w:adjustRightInd w:val="0"/>
              <w:snapToGrid w:val="0"/>
              <w:jc w:val="center"/>
              <w:rPr>
                <w:color w:val="auto"/>
                <w:kern w:val="0"/>
                <w:sz w:val="24"/>
              </w:rPr>
            </w:pPr>
            <w:r>
              <w:rPr>
                <w:color w:val="auto"/>
                <w:kern w:val="0"/>
                <w:sz w:val="24"/>
              </w:rPr>
              <w:t>污染</w:t>
            </w:r>
          </w:p>
          <w:p>
            <w:pPr>
              <w:adjustRightInd w:val="0"/>
              <w:snapToGrid w:val="0"/>
              <w:jc w:val="center"/>
              <w:rPr>
                <w:color w:val="auto"/>
                <w:kern w:val="0"/>
                <w:sz w:val="24"/>
              </w:rPr>
            </w:pPr>
            <w:r>
              <w:rPr>
                <w:color w:val="auto"/>
                <w:kern w:val="0"/>
                <w:sz w:val="24"/>
              </w:rPr>
              <w:t>物排</w:t>
            </w:r>
          </w:p>
          <w:p>
            <w:pPr>
              <w:adjustRightInd w:val="0"/>
              <w:snapToGrid w:val="0"/>
              <w:jc w:val="center"/>
              <w:rPr>
                <w:color w:val="auto"/>
                <w:kern w:val="0"/>
                <w:sz w:val="24"/>
              </w:rPr>
            </w:pPr>
            <w:r>
              <w:rPr>
                <w:color w:val="auto"/>
                <w:kern w:val="0"/>
                <w:sz w:val="24"/>
              </w:rPr>
              <w:t>放控</w:t>
            </w:r>
          </w:p>
          <w:p>
            <w:pPr>
              <w:adjustRightInd w:val="0"/>
              <w:snapToGrid w:val="0"/>
              <w:jc w:val="center"/>
              <w:rPr>
                <w:color w:val="auto"/>
                <w:kern w:val="0"/>
                <w:sz w:val="24"/>
              </w:rPr>
            </w:pPr>
            <w:r>
              <w:rPr>
                <w:color w:val="auto"/>
                <w:kern w:val="0"/>
                <w:sz w:val="24"/>
              </w:rPr>
              <w:t>制标</w:t>
            </w:r>
          </w:p>
          <w:p>
            <w:pPr>
              <w:adjustRightInd w:val="0"/>
              <w:snapToGrid w:val="0"/>
              <w:jc w:val="center"/>
              <w:rPr>
                <w:color w:val="auto"/>
                <w:kern w:val="0"/>
                <w:sz w:val="24"/>
              </w:rPr>
            </w:pPr>
            <w:r>
              <w:rPr>
                <w:color w:val="auto"/>
                <w:kern w:val="0"/>
                <w:sz w:val="24"/>
              </w:rPr>
              <w:t>准</w:t>
            </w:r>
          </w:p>
        </w:tc>
        <w:tc>
          <w:tcPr>
            <w:tcW w:w="9005" w:type="dxa"/>
          </w:tcPr>
          <w:p>
            <w:pPr>
              <w:spacing w:line="360" w:lineRule="auto"/>
              <w:ind w:firstLine="482" w:firstLineChars="200"/>
              <w:rPr>
                <w:b/>
                <w:color w:val="auto"/>
                <w:sz w:val="24"/>
                <w:szCs w:val="21"/>
              </w:rPr>
            </w:pPr>
            <w:r>
              <w:rPr>
                <w:b/>
                <w:color w:val="auto"/>
                <w:sz w:val="24"/>
                <w:szCs w:val="21"/>
              </w:rPr>
              <w:t>1、水污染物排放执行标准：</w:t>
            </w:r>
          </w:p>
          <w:p>
            <w:pPr>
              <w:spacing w:line="360" w:lineRule="auto"/>
              <w:ind w:firstLine="480" w:firstLineChars="200"/>
              <w:rPr>
                <w:bCs/>
                <w:color w:val="auto"/>
                <w:sz w:val="24"/>
                <w:szCs w:val="21"/>
              </w:rPr>
            </w:pPr>
            <w:r>
              <w:rPr>
                <w:bCs/>
                <w:color w:val="auto"/>
                <w:sz w:val="24"/>
                <w:szCs w:val="21"/>
              </w:rPr>
              <w:t>本项目施工期废水全部回用，不外排。本项目运营期无生产废水外排。</w:t>
            </w:r>
            <w:r>
              <w:rPr>
                <w:color w:val="auto"/>
                <w:sz w:val="24"/>
                <w:szCs w:val="21"/>
              </w:rPr>
              <w:t>本项目生活区厨房废水经隔油池处理后，与水冲厕产生废水统一经化粪池处理后定期清掏，用于绿化、林地用肥。本项目污水不外排，故本次环评不设废水排放标准。</w:t>
            </w:r>
          </w:p>
          <w:p>
            <w:pPr>
              <w:tabs>
                <w:tab w:val="left" w:pos="0"/>
              </w:tabs>
              <w:snapToGrid w:val="0"/>
              <w:spacing w:line="360" w:lineRule="auto"/>
              <w:ind w:firstLine="482" w:firstLineChars="200"/>
              <w:rPr>
                <w:b/>
                <w:color w:val="auto"/>
                <w:sz w:val="24"/>
                <w:szCs w:val="21"/>
              </w:rPr>
            </w:pPr>
            <w:r>
              <w:rPr>
                <w:b/>
                <w:color w:val="auto"/>
                <w:sz w:val="24"/>
                <w:szCs w:val="21"/>
              </w:rPr>
              <w:t>2、大气污染物排放：</w:t>
            </w:r>
          </w:p>
          <w:p>
            <w:pPr>
              <w:pStyle w:val="80"/>
              <w:rPr>
                <w:color w:val="auto"/>
              </w:rPr>
            </w:pPr>
            <w:r>
              <w:rPr>
                <w:color w:val="auto"/>
              </w:rPr>
              <w:t>大气污染物执行《大气污染物综合排放标准》(GB16297-1996）表2中二级标准；餐饮油烟执行《饮食业油烟排放标准（试行）》（GB18483-2001）小型规模标准。</w:t>
            </w:r>
          </w:p>
          <w:p>
            <w:pPr>
              <w:pStyle w:val="71"/>
              <w:rPr>
                <w:rFonts w:cs="Times New Roman"/>
                <w:color w:val="auto"/>
                <w:szCs w:val="21"/>
              </w:rPr>
            </w:pPr>
            <w:r>
              <w:rPr>
                <w:rFonts w:cs="Times New Roman"/>
                <w:color w:val="auto"/>
                <w:szCs w:val="21"/>
              </w:rPr>
              <w:t>表3-5    《大气污染物综合排放标准》(GB16297-1996）二级标准</w:t>
            </w:r>
          </w:p>
          <w:tbl>
            <w:tblPr>
              <w:tblStyle w:val="25"/>
              <w:tblW w:w="8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1903"/>
              <w:gridCol w:w="1550"/>
              <w:gridCol w:w="1656"/>
              <w:gridCol w:w="2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40" w:type="dxa"/>
                  <w:vMerge w:val="restart"/>
                  <w:shd w:val="clear" w:color="auto" w:fill="auto"/>
                  <w:vAlign w:val="center"/>
                </w:tcPr>
                <w:p>
                  <w:pPr>
                    <w:pStyle w:val="75"/>
                    <w:spacing w:before="24" w:after="24"/>
                    <w:rPr>
                      <w:color w:val="auto"/>
                    </w:rPr>
                  </w:pPr>
                  <w:r>
                    <w:rPr>
                      <w:color w:val="auto"/>
                    </w:rPr>
                    <w:t>污染物</w:t>
                  </w:r>
                </w:p>
              </w:tc>
              <w:tc>
                <w:tcPr>
                  <w:tcW w:w="1903" w:type="dxa"/>
                  <w:vMerge w:val="restart"/>
                  <w:shd w:val="clear" w:color="auto" w:fill="auto"/>
                  <w:vAlign w:val="center"/>
                </w:tcPr>
                <w:p>
                  <w:pPr>
                    <w:pStyle w:val="75"/>
                    <w:spacing w:before="24" w:after="24"/>
                    <w:rPr>
                      <w:color w:val="auto"/>
                    </w:rPr>
                  </w:pPr>
                  <w:r>
                    <w:rPr>
                      <w:color w:val="auto"/>
                    </w:rPr>
                    <w:t>最高允许排放浓度（mg/m</w:t>
                  </w:r>
                  <w:r>
                    <w:rPr>
                      <w:color w:val="auto"/>
                      <w:vertAlign w:val="superscript"/>
                    </w:rPr>
                    <w:t>3</w:t>
                  </w:r>
                  <w:r>
                    <w:rPr>
                      <w:color w:val="auto"/>
                    </w:rPr>
                    <w:t>）</w:t>
                  </w:r>
                </w:p>
              </w:tc>
              <w:tc>
                <w:tcPr>
                  <w:tcW w:w="3206" w:type="dxa"/>
                  <w:gridSpan w:val="2"/>
                  <w:shd w:val="clear" w:color="auto" w:fill="auto"/>
                  <w:vAlign w:val="center"/>
                </w:tcPr>
                <w:p>
                  <w:pPr>
                    <w:pStyle w:val="75"/>
                    <w:spacing w:before="24" w:after="24"/>
                    <w:rPr>
                      <w:color w:val="auto"/>
                    </w:rPr>
                  </w:pPr>
                  <w:r>
                    <w:rPr>
                      <w:color w:val="auto"/>
                    </w:rPr>
                    <w:t>最高允许排放速率（kg/h)</w:t>
                  </w:r>
                </w:p>
              </w:tc>
              <w:tc>
                <w:tcPr>
                  <w:tcW w:w="2430" w:type="dxa"/>
                  <w:vMerge w:val="restart"/>
                  <w:shd w:val="clear" w:color="auto" w:fill="auto"/>
                  <w:vAlign w:val="center"/>
                </w:tcPr>
                <w:p>
                  <w:pPr>
                    <w:pStyle w:val="75"/>
                    <w:spacing w:before="24" w:after="24"/>
                    <w:rPr>
                      <w:color w:val="auto"/>
                    </w:rPr>
                  </w:pPr>
                  <w:r>
                    <w:rPr>
                      <w:color w:val="auto"/>
                    </w:rPr>
                    <w:t>无组织排放监控浓度限值（mg/m</w:t>
                  </w:r>
                  <w:r>
                    <w:rPr>
                      <w:color w:val="auto"/>
                      <w:vertAlign w:val="superscript"/>
                    </w:rPr>
                    <w:t>3</w:t>
                  </w:r>
                  <w:r>
                    <w:rPr>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40" w:type="dxa"/>
                  <w:vMerge w:val="continue"/>
                  <w:shd w:val="clear" w:color="auto" w:fill="auto"/>
                  <w:vAlign w:val="center"/>
                </w:tcPr>
                <w:p>
                  <w:pPr>
                    <w:pStyle w:val="75"/>
                    <w:spacing w:before="24" w:after="24"/>
                    <w:rPr>
                      <w:color w:val="auto"/>
                    </w:rPr>
                  </w:pPr>
                </w:p>
              </w:tc>
              <w:tc>
                <w:tcPr>
                  <w:tcW w:w="1903" w:type="dxa"/>
                  <w:vMerge w:val="continue"/>
                  <w:shd w:val="clear" w:color="auto" w:fill="auto"/>
                  <w:vAlign w:val="center"/>
                </w:tcPr>
                <w:p>
                  <w:pPr>
                    <w:pStyle w:val="75"/>
                    <w:spacing w:before="24" w:after="24"/>
                    <w:rPr>
                      <w:color w:val="auto"/>
                    </w:rPr>
                  </w:pPr>
                </w:p>
              </w:tc>
              <w:tc>
                <w:tcPr>
                  <w:tcW w:w="1550" w:type="dxa"/>
                  <w:shd w:val="clear" w:color="auto" w:fill="auto"/>
                  <w:vAlign w:val="center"/>
                </w:tcPr>
                <w:p>
                  <w:pPr>
                    <w:pStyle w:val="75"/>
                    <w:spacing w:before="24" w:after="24"/>
                    <w:rPr>
                      <w:color w:val="auto"/>
                    </w:rPr>
                  </w:pPr>
                  <w:r>
                    <w:rPr>
                      <w:color w:val="auto"/>
                    </w:rPr>
                    <w:t>排气筒（m)</w:t>
                  </w:r>
                </w:p>
              </w:tc>
              <w:tc>
                <w:tcPr>
                  <w:tcW w:w="1656" w:type="dxa"/>
                  <w:shd w:val="clear" w:color="auto" w:fill="auto"/>
                  <w:vAlign w:val="center"/>
                </w:tcPr>
                <w:p>
                  <w:pPr>
                    <w:pStyle w:val="75"/>
                    <w:spacing w:before="24" w:after="24"/>
                    <w:rPr>
                      <w:color w:val="auto"/>
                    </w:rPr>
                  </w:pPr>
                  <w:r>
                    <w:rPr>
                      <w:color w:val="auto"/>
                    </w:rPr>
                    <w:t>二级</w:t>
                  </w:r>
                </w:p>
              </w:tc>
              <w:tc>
                <w:tcPr>
                  <w:tcW w:w="2430" w:type="dxa"/>
                  <w:vMerge w:val="continue"/>
                  <w:shd w:val="clear" w:color="auto" w:fill="auto"/>
                  <w:vAlign w:val="center"/>
                </w:tcPr>
                <w:p>
                  <w:pPr>
                    <w:pStyle w:val="75"/>
                    <w:spacing w:before="24" w:after="24"/>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40" w:type="dxa"/>
                  <w:shd w:val="clear" w:color="auto" w:fill="auto"/>
                  <w:vAlign w:val="center"/>
                </w:tcPr>
                <w:p>
                  <w:pPr>
                    <w:pStyle w:val="75"/>
                    <w:spacing w:before="24" w:after="24"/>
                    <w:rPr>
                      <w:color w:val="auto"/>
                    </w:rPr>
                  </w:pPr>
                  <w:r>
                    <w:rPr>
                      <w:color w:val="auto"/>
                    </w:rPr>
                    <w:t>颗粒物</w:t>
                  </w:r>
                </w:p>
              </w:tc>
              <w:tc>
                <w:tcPr>
                  <w:tcW w:w="1903" w:type="dxa"/>
                  <w:shd w:val="clear" w:color="auto" w:fill="auto"/>
                  <w:vAlign w:val="center"/>
                </w:tcPr>
                <w:p>
                  <w:pPr>
                    <w:pStyle w:val="75"/>
                    <w:spacing w:before="24" w:after="24"/>
                    <w:rPr>
                      <w:color w:val="auto"/>
                    </w:rPr>
                  </w:pPr>
                  <w:r>
                    <w:rPr>
                      <w:color w:val="auto"/>
                    </w:rPr>
                    <w:t>120</w:t>
                  </w:r>
                </w:p>
              </w:tc>
              <w:tc>
                <w:tcPr>
                  <w:tcW w:w="1550" w:type="dxa"/>
                  <w:shd w:val="clear" w:color="auto" w:fill="auto"/>
                  <w:vAlign w:val="center"/>
                </w:tcPr>
                <w:p>
                  <w:pPr>
                    <w:pStyle w:val="75"/>
                    <w:spacing w:before="24" w:after="24"/>
                    <w:rPr>
                      <w:color w:val="auto"/>
                    </w:rPr>
                  </w:pPr>
                  <w:r>
                    <w:rPr>
                      <w:color w:val="auto"/>
                    </w:rPr>
                    <w:t>15</w:t>
                  </w:r>
                </w:p>
              </w:tc>
              <w:tc>
                <w:tcPr>
                  <w:tcW w:w="1656" w:type="dxa"/>
                  <w:shd w:val="clear" w:color="auto" w:fill="auto"/>
                  <w:vAlign w:val="center"/>
                </w:tcPr>
                <w:p>
                  <w:pPr>
                    <w:pStyle w:val="75"/>
                    <w:spacing w:before="24" w:after="24"/>
                    <w:rPr>
                      <w:color w:val="auto"/>
                    </w:rPr>
                  </w:pPr>
                  <w:r>
                    <w:rPr>
                      <w:color w:val="auto"/>
                    </w:rPr>
                    <w:t>3.5</w:t>
                  </w:r>
                </w:p>
              </w:tc>
              <w:tc>
                <w:tcPr>
                  <w:tcW w:w="2430" w:type="dxa"/>
                  <w:shd w:val="clear" w:color="auto" w:fill="auto"/>
                  <w:vAlign w:val="center"/>
                </w:tcPr>
                <w:p>
                  <w:pPr>
                    <w:pStyle w:val="75"/>
                    <w:spacing w:before="24" w:after="24"/>
                    <w:rPr>
                      <w:color w:val="auto"/>
                    </w:rPr>
                  </w:pPr>
                  <w:r>
                    <w:rPr>
                      <w:color w:val="auto"/>
                    </w:rPr>
                    <w:t>1.0</w:t>
                  </w:r>
                </w:p>
              </w:tc>
            </w:tr>
          </w:tbl>
          <w:p>
            <w:pPr>
              <w:pStyle w:val="71"/>
              <w:rPr>
                <w:rFonts w:cs="Times New Roman"/>
                <w:color w:val="auto"/>
                <w:szCs w:val="21"/>
              </w:rPr>
            </w:pPr>
          </w:p>
          <w:p>
            <w:pPr>
              <w:pStyle w:val="71"/>
              <w:rPr>
                <w:rFonts w:cs="Times New Roman"/>
                <w:color w:val="auto"/>
                <w:szCs w:val="21"/>
              </w:rPr>
            </w:pPr>
            <w:r>
              <w:rPr>
                <w:rFonts w:cs="Times New Roman"/>
                <w:color w:val="auto"/>
                <w:szCs w:val="21"/>
              </w:rPr>
              <w:t>表3-6    饮食业单位的油烟最高允许排放浓度和油烟净化设施最低去除效率</w:t>
            </w:r>
          </w:p>
          <w:tbl>
            <w:tblPr>
              <w:tblStyle w:val="25"/>
              <w:tblW w:w="87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7"/>
              <w:gridCol w:w="1879"/>
              <w:gridCol w:w="1807"/>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jc w:val="center"/>
              </w:trPr>
              <w:tc>
                <w:tcPr>
                  <w:tcW w:w="4227" w:type="dxa"/>
                  <w:vAlign w:val="center"/>
                </w:tcPr>
                <w:p>
                  <w:pPr>
                    <w:pStyle w:val="75"/>
                    <w:spacing w:before="24" w:after="24"/>
                    <w:rPr>
                      <w:color w:val="auto"/>
                    </w:rPr>
                  </w:pPr>
                  <w:r>
                    <w:rPr>
                      <w:color w:val="auto"/>
                    </w:rPr>
                    <w:t>规模</w:t>
                  </w:r>
                </w:p>
              </w:tc>
              <w:tc>
                <w:tcPr>
                  <w:tcW w:w="1879" w:type="dxa"/>
                  <w:vAlign w:val="center"/>
                </w:tcPr>
                <w:p>
                  <w:pPr>
                    <w:pStyle w:val="75"/>
                    <w:spacing w:before="24" w:after="24"/>
                    <w:rPr>
                      <w:color w:val="auto"/>
                    </w:rPr>
                  </w:pPr>
                  <w:r>
                    <w:rPr>
                      <w:color w:val="auto"/>
                    </w:rPr>
                    <w:t>小型</w:t>
                  </w:r>
                </w:p>
              </w:tc>
              <w:tc>
                <w:tcPr>
                  <w:tcW w:w="1807" w:type="dxa"/>
                  <w:vAlign w:val="center"/>
                </w:tcPr>
                <w:p>
                  <w:pPr>
                    <w:pStyle w:val="75"/>
                    <w:spacing w:before="24" w:after="24"/>
                    <w:rPr>
                      <w:color w:val="auto"/>
                    </w:rPr>
                  </w:pPr>
                  <w:r>
                    <w:rPr>
                      <w:color w:val="auto"/>
                    </w:rPr>
                    <w:t>中型</w:t>
                  </w:r>
                </w:p>
              </w:tc>
              <w:tc>
                <w:tcPr>
                  <w:tcW w:w="866" w:type="dxa"/>
                  <w:vAlign w:val="center"/>
                </w:tcPr>
                <w:p>
                  <w:pPr>
                    <w:pStyle w:val="75"/>
                    <w:spacing w:before="24" w:after="24"/>
                    <w:rPr>
                      <w:color w:val="auto"/>
                    </w:rPr>
                  </w:pPr>
                  <w:r>
                    <w:rPr>
                      <w:color w:val="auto"/>
                    </w:rPr>
                    <w:t>大型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jc w:val="center"/>
              </w:trPr>
              <w:tc>
                <w:tcPr>
                  <w:tcW w:w="4227" w:type="dxa"/>
                  <w:vAlign w:val="center"/>
                </w:tcPr>
                <w:p>
                  <w:pPr>
                    <w:pStyle w:val="75"/>
                    <w:spacing w:before="24" w:after="24"/>
                    <w:rPr>
                      <w:color w:val="auto"/>
                    </w:rPr>
                  </w:pPr>
                  <w:r>
                    <w:rPr>
                      <w:color w:val="auto"/>
                    </w:rPr>
                    <w:t>基准灶头数</w:t>
                  </w:r>
                </w:p>
              </w:tc>
              <w:tc>
                <w:tcPr>
                  <w:tcW w:w="1879" w:type="dxa"/>
                  <w:vAlign w:val="center"/>
                </w:tcPr>
                <w:p>
                  <w:pPr>
                    <w:pStyle w:val="75"/>
                    <w:spacing w:before="24" w:after="24"/>
                    <w:rPr>
                      <w:color w:val="auto"/>
                    </w:rPr>
                  </w:pPr>
                  <w:r>
                    <w:rPr>
                      <w:color w:val="auto"/>
                    </w:rPr>
                    <w:t>≥1，＜3</w:t>
                  </w:r>
                </w:p>
              </w:tc>
              <w:tc>
                <w:tcPr>
                  <w:tcW w:w="1807" w:type="dxa"/>
                  <w:vAlign w:val="center"/>
                </w:tcPr>
                <w:p>
                  <w:pPr>
                    <w:pStyle w:val="75"/>
                    <w:spacing w:before="24" w:after="24"/>
                    <w:rPr>
                      <w:color w:val="auto"/>
                    </w:rPr>
                  </w:pPr>
                  <w:r>
                    <w:rPr>
                      <w:color w:val="auto"/>
                    </w:rPr>
                    <w:t>≥3，＜6</w:t>
                  </w:r>
                </w:p>
              </w:tc>
              <w:tc>
                <w:tcPr>
                  <w:tcW w:w="866" w:type="dxa"/>
                  <w:vAlign w:val="center"/>
                </w:tcPr>
                <w:p>
                  <w:pPr>
                    <w:pStyle w:val="75"/>
                    <w:spacing w:before="24" w:after="24"/>
                    <w:rPr>
                      <w:color w:val="auto"/>
                    </w:rPr>
                  </w:pPr>
                  <w:r>
                    <w:rPr>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jc w:val="center"/>
              </w:trPr>
              <w:tc>
                <w:tcPr>
                  <w:tcW w:w="4227" w:type="dxa"/>
                  <w:vAlign w:val="center"/>
                </w:tcPr>
                <w:p>
                  <w:pPr>
                    <w:pStyle w:val="75"/>
                    <w:spacing w:before="24" w:after="24"/>
                    <w:rPr>
                      <w:color w:val="auto"/>
                    </w:rPr>
                  </w:pPr>
                  <w:r>
                    <w:rPr>
                      <w:color w:val="auto"/>
                    </w:rPr>
                    <w:t>对应灶头总功率108J/h</w:t>
                  </w:r>
                </w:p>
              </w:tc>
              <w:tc>
                <w:tcPr>
                  <w:tcW w:w="1879" w:type="dxa"/>
                  <w:vAlign w:val="center"/>
                </w:tcPr>
                <w:p>
                  <w:pPr>
                    <w:pStyle w:val="75"/>
                    <w:spacing w:before="24" w:after="24"/>
                    <w:rPr>
                      <w:color w:val="auto"/>
                    </w:rPr>
                  </w:pPr>
                  <w:r>
                    <w:rPr>
                      <w:color w:val="auto"/>
                    </w:rPr>
                    <w:t>1.67，＜5.00</w:t>
                  </w:r>
                </w:p>
              </w:tc>
              <w:tc>
                <w:tcPr>
                  <w:tcW w:w="1807" w:type="dxa"/>
                  <w:vAlign w:val="center"/>
                </w:tcPr>
                <w:p>
                  <w:pPr>
                    <w:pStyle w:val="75"/>
                    <w:spacing w:before="24" w:after="24"/>
                    <w:rPr>
                      <w:color w:val="auto"/>
                    </w:rPr>
                  </w:pPr>
                  <w:r>
                    <w:rPr>
                      <w:color w:val="auto"/>
                    </w:rPr>
                    <w:t>≥5.00，＜10</w:t>
                  </w:r>
                </w:p>
              </w:tc>
              <w:tc>
                <w:tcPr>
                  <w:tcW w:w="866" w:type="dxa"/>
                  <w:vAlign w:val="center"/>
                </w:tcPr>
                <w:p>
                  <w:pPr>
                    <w:pStyle w:val="75"/>
                    <w:spacing w:before="24" w:after="24"/>
                    <w:rPr>
                      <w:color w:val="auto"/>
                    </w:rPr>
                  </w:pPr>
                  <w:r>
                    <w:rPr>
                      <w:color w:val="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jc w:val="center"/>
              </w:trPr>
              <w:tc>
                <w:tcPr>
                  <w:tcW w:w="4227" w:type="dxa"/>
                  <w:vAlign w:val="center"/>
                </w:tcPr>
                <w:p>
                  <w:pPr>
                    <w:pStyle w:val="75"/>
                    <w:spacing w:before="24" w:after="24"/>
                    <w:rPr>
                      <w:color w:val="auto"/>
                    </w:rPr>
                  </w:pPr>
                  <w:r>
                    <w:rPr>
                      <w:color w:val="auto"/>
                    </w:rPr>
                    <w:t>对应排气罩灶面总投影面积(m</w:t>
                  </w:r>
                  <w:r>
                    <w:rPr>
                      <w:color w:val="auto"/>
                      <w:vertAlign w:val="superscript"/>
                    </w:rPr>
                    <w:t>2</w:t>
                  </w:r>
                  <w:r>
                    <w:rPr>
                      <w:color w:val="auto"/>
                    </w:rPr>
                    <w:t>)</w:t>
                  </w:r>
                </w:p>
              </w:tc>
              <w:tc>
                <w:tcPr>
                  <w:tcW w:w="1879" w:type="dxa"/>
                  <w:vAlign w:val="center"/>
                </w:tcPr>
                <w:p>
                  <w:pPr>
                    <w:pStyle w:val="75"/>
                    <w:spacing w:before="24" w:after="24"/>
                    <w:rPr>
                      <w:color w:val="auto"/>
                    </w:rPr>
                  </w:pPr>
                  <w:r>
                    <w:rPr>
                      <w:color w:val="auto"/>
                    </w:rPr>
                    <w:t>≥1.1，＜3.00</w:t>
                  </w:r>
                </w:p>
              </w:tc>
              <w:tc>
                <w:tcPr>
                  <w:tcW w:w="1807" w:type="dxa"/>
                  <w:vAlign w:val="center"/>
                </w:tcPr>
                <w:p>
                  <w:pPr>
                    <w:pStyle w:val="75"/>
                    <w:spacing w:before="24" w:after="24"/>
                    <w:rPr>
                      <w:color w:val="auto"/>
                    </w:rPr>
                  </w:pPr>
                  <w:r>
                    <w:rPr>
                      <w:color w:val="auto"/>
                    </w:rPr>
                    <w:t>≥3.3，＜6.6</w:t>
                  </w:r>
                </w:p>
              </w:tc>
              <w:tc>
                <w:tcPr>
                  <w:tcW w:w="866" w:type="dxa"/>
                  <w:vAlign w:val="center"/>
                </w:tcPr>
                <w:p>
                  <w:pPr>
                    <w:pStyle w:val="75"/>
                    <w:spacing w:before="24" w:after="24"/>
                    <w:rPr>
                      <w:color w:val="auto"/>
                    </w:rPr>
                  </w:pPr>
                  <w:r>
                    <w:rPr>
                      <w:color w:val="auto"/>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jc w:val="center"/>
              </w:trPr>
              <w:tc>
                <w:tcPr>
                  <w:tcW w:w="4227" w:type="dxa"/>
                  <w:vAlign w:val="center"/>
                </w:tcPr>
                <w:p>
                  <w:pPr>
                    <w:pStyle w:val="75"/>
                    <w:spacing w:before="24" w:after="24"/>
                    <w:rPr>
                      <w:color w:val="auto"/>
                    </w:rPr>
                  </w:pPr>
                  <w:r>
                    <w:rPr>
                      <w:color w:val="auto"/>
                    </w:rPr>
                    <w:t>最高允许排放浓度(mg/m</w:t>
                  </w:r>
                  <w:r>
                    <w:rPr>
                      <w:color w:val="auto"/>
                      <w:vertAlign w:val="superscript"/>
                    </w:rPr>
                    <w:t>3</w:t>
                  </w:r>
                  <w:r>
                    <w:rPr>
                      <w:color w:val="auto"/>
                    </w:rPr>
                    <w:t>)</w:t>
                  </w:r>
                </w:p>
              </w:tc>
              <w:tc>
                <w:tcPr>
                  <w:tcW w:w="4552" w:type="dxa"/>
                  <w:gridSpan w:val="3"/>
                  <w:vAlign w:val="center"/>
                </w:tcPr>
                <w:p>
                  <w:pPr>
                    <w:pStyle w:val="75"/>
                    <w:spacing w:before="24" w:after="24"/>
                    <w:rPr>
                      <w:color w:val="auto"/>
                    </w:rPr>
                  </w:pPr>
                  <w:r>
                    <w:rPr>
                      <w:color w:val="auto"/>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jc w:val="center"/>
              </w:trPr>
              <w:tc>
                <w:tcPr>
                  <w:tcW w:w="4227" w:type="dxa"/>
                  <w:vAlign w:val="center"/>
                </w:tcPr>
                <w:p>
                  <w:pPr>
                    <w:pStyle w:val="75"/>
                    <w:spacing w:before="24" w:after="24"/>
                    <w:rPr>
                      <w:color w:val="auto"/>
                    </w:rPr>
                  </w:pPr>
                  <w:r>
                    <w:rPr>
                      <w:color w:val="auto"/>
                    </w:rPr>
                    <w:t>净化设施最低去除率(％)</w:t>
                  </w:r>
                </w:p>
              </w:tc>
              <w:tc>
                <w:tcPr>
                  <w:tcW w:w="1879" w:type="dxa"/>
                  <w:vAlign w:val="center"/>
                </w:tcPr>
                <w:p>
                  <w:pPr>
                    <w:pStyle w:val="75"/>
                    <w:spacing w:before="24" w:after="24"/>
                    <w:rPr>
                      <w:color w:val="auto"/>
                    </w:rPr>
                  </w:pPr>
                  <w:r>
                    <w:rPr>
                      <w:color w:val="auto"/>
                    </w:rPr>
                    <w:t>60</w:t>
                  </w:r>
                </w:p>
              </w:tc>
              <w:tc>
                <w:tcPr>
                  <w:tcW w:w="1807" w:type="dxa"/>
                  <w:vAlign w:val="center"/>
                </w:tcPr>
                <w:p>
                  <w:pPr>
                    <w:pStyle w:val="75"/>
                    <w:spacing w:before="24" w:after="24"/>
                    <w:rPr>
                      <w:color w:val="auto"/>
                    </w:rPr>
                  </w:pPr>
                  <w:r>
                    <w:rPr>
                      <w:color w:val="auto"/>
                    </w:rPr>
                    <w:t>75</w:t>
                  </w:r>
                </w:p>
              </w:tc>
              <w:tc>
                <w:tcPr>
                  <w:tcW w:w="866" w:type="dxa"/>
                  <w:vAlign w:val="center"/>
                </w:tcPr>
                <w:p>
                  <w:pPr>
                    <w:pStyle w:val="75"/>
                    <w:spacing w:before="24" w:after="24"/>
                    <w:rPr>
                      <w:color w:val="auto"/>
                    </w:rPr>
                  </w:pPr>
                  <w:r>
                    <w:rPr>
                      <w:color w:val="auto"/>
                    </w:rPr>
                    <w:t>85</w:t>
                  </w:r>
                </w:p>
              </w:tc>
            </w:tr>
          </w:tbl>
          <w:p>
            <w:pPr>
              <w:spacing w:line="360" w:lineRule="auto"/>
              <w:ind w:firstLine="352" w:firstLineChars="147"/>
              <w:rPr>
                <w:b/>
                <w:color w:val="auto"/>
                <w:sz w:val="24"/>
              </w:rPr>
            </w:pPr>
            <w:r>
              <w:rPr>
                <w:color w:val="auto"/>
                <w:kern w:val="0"/>
                <w:sz w:val="24"/>
              </w:rPr>
              <w:t xml:space="preserve"> </w:t>
            </w:r>
            <w:r>
              <w:rPr>
                <w:b/>
                <w:color w:val="auto"/>
                <w:sz w:val="24"/>
              </w:rPr>
              <w:t>3、噪声排放：</w:t>
            </w:r>
          </w:p>
          <w:p>
            <w:pPr>
              <w:pStyle w:val="80"/>
              <w:rPr>
                <w:color w:val="auto"/>
              </w:rPr>
            </w:pPr>
            <w:r>
              <w:rPr>
                <w:color w:val="auto"/>
              </w:rPr>
              <w:t>施工期施工场界噪声排放执行GB12523-2011《建筑施工场界环境噪声排放标准》，标准值见下表3-7。</w:t>
            </w:r>
          </w:p>
          <w:p>
            <w:pPr>
              <w:pStyle w:val="71"/>
              <w:rPr>
                <w:rFonts w:cs="Times New Roman"/>
                <w:color w:val="auto"/>
                <w:szCs w:val="21"/>
              </w:rPr>
            </w:pPr>
            <w:r>
              <w:rPr>
                <w:rFonts w:cs="Times New Roman"/>
                <w:color w:val="auto"/>
                <w:szCs w:val="21"/>
              </w:rPr>
              <w:t>表3-7    建筑施工场界环境噪声排放限值   单位：dB（A）</w:t>
            </w:r>
          </w:p>
          <w:tbl>
            <w:tblPr>
              <w:tblStyle w:val="25"/>
              <w:tblW w:w="87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0"/>
              <w:gridCol w:w="4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50" w:type="dxa"/>
                  <w:vAlign w:val="center"/>
                </w:tcPr>
                <w:p>
                  <w:pPr>
                    <w:pStyle w:val="75"/>
                    <w:spacing w:before="24" w:after="24"/>
                    <w:rPr>
                      <w:color w:val="auto"/>
                    </w:rPr>
                  </w:pPr>
                  <w:r>
                    <w:rPr>
                      <w:color w:val="auto"/>
                    </w:rPr>
                    <w:t>昼间</w:t>
                  </w:r>
                </w:p>
              </w:tc>
              <w:tc>
                <w:tcPr>
                  <w:tcW w:w="4229" w:type="dxa"/>
                  <w:vAlign w:val="center"/>
                </w:tcPr>
                <w:p>
                  <w:pPr>
                    <w:pStyle w:val="75"/>
                    <w:spacing w:before="24" w:after="24"/>
                    <w:rPr>
                      <w:color w:val="auto"/>
                    </w:rPr>
                  </w:pPr>
                  <w:r>
                    <w:rPr>
                      <w:color w:val="auto"/>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50" w:type="dxa"/>
                  <w:vAlign w:val="center"/>
                </w:tcPr>
                <w:p>
                  <w:pPr>
                    <w:pStyle w:val="75"/>
                    <w:spacing w:before="24" w:after="24"/>
                    <w:rPr>
                      <w:color w:val="auto"/>
                    </w:rPr>
                  </w:pPr>
                  <w:r>
                    <w:rPr>
                      <w:color w:val="auto"/>
                    </w:rPr>
                    <w:t>70</w:t>
                  </w:r>
                </w:p>
              </w:tc>
              <w:tc>
                <w:tcPr>
                  <w:tcW w:w="4229" w:type="dxa"/>
                  <w:vAlign w:val="center"/>
                </w:tcPr>
                <w:p>
                  <w:pPr>
                    <w:pStyle w:val="75"/>
                    <w:spacing w:before="24" w:after="24"/>
                    <w:rPr>
                      <w:color w:val="auto"/>
                    </w:rPr>
                  </w:pPr>
                  <w:r>
                    <w:rPr>
                      <w:color w:val="auto"/>
                    </w:rPr>
                    <w:t>55</w:t>
                  </w:r>
                </w:p>
              </w:tc>
            </w:tr>
          </w:tbl>
          <w:p>
            <w:pPr>
              <w:pStyle w:val="95"/>
              <w:ind w:firstLine="480"/>
              <w:rPr>
                <w:color w:val="auto"/>
                <w:szCs w:val="24"/>
              </w:rPr>
            </w:pPr>
            <w:r>
              <w:rPr>
                <w:color w:val="auto"/>
                <w:szCs w:val="24"/>
              </w:rPr>
              <w:t>项目运营期噪声执行《工业企业厂界环境噪声排放标准》（GB12348－2008）2类标准，标准限值见表3-8。</w:t>
            </w:r>
          </w:p>
          <w:p>
            <w:pPr>
              <w:pStyle w:val="71"/>
              <w:rPr>
                <w:rFonts w:cs="Times New Roman"/>
                <w:color w:val="auto"/>
                <w:szCs w:val="21"/>
              </w:rPr>
            </w:pPr>
            <w:r>
              <w:rPr>
                <w:rFonts w:cs="Times New Roman"/>
                <w:color w:val="auto"/>
                <w:szCs w:val="21"/>
              </w:rPr>
              <w:t>表3-8    工业企业厂界环境噪声排放标准     单位： dB(A)</w:t>
            </w:r>
          </w:p>
          <w:tbl>
            <w:tblPr>
              <w:tblStyle w:val="25"/>
              <w:tblW w:w="88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81"/>
              <w:gridCol w:w="2861"/>
              <w:gridCol w:w="2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3381" w:type="dxa"/>
                  <w:vMerge w:val="restart"/>
                  <w:vAlign w:val="center"/>
                </w:tcPr>
                <w:p>
                  <w:pPr>
                    <w:pStyle w:val="75"/>
                    <w:spacing w:before="24" w:after="24"/>
                    <w:rPr>
                      <w:color w:val="auto"/>
                    </w:rPr>
                  </w:pPr>
                  <w:r>
                    <w:rPr>
                      <w:color w:val="auto"/>
                    </w:rPr>
                    <w:t>类别</w:t>
                  </w:r>
                </w:p>
              </w:tc>
              <w:tc>
                <w:tcPr>
                  <w:tcW w:w="5478" w:type="dxa"/>
                  <w:gridSpan w:val="2"/>
                  <w:tcBorders>
                    <w:bottom w:val="single" w:color="000000" w:sz="4" w:space="0"/>
                  </w:tcBorders>
                  <w:vAlign w:val="center"/>
                </w:tcPr>
                <w:p>
                  <w:pPr>
                    <w:pStyle w:val="75"/>
                    <w:spacing w:before="24" w:after="24"/>
                    <w:rPr>
                      <w:color w:val="auto"/>
                    </w:rPr>
                  </w:pPr>
                  <w:r>
                    <w:rPr>
                      <w:color w:val="auto"/>
                    </w:rPr>
                    <w:t>等效声级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3381" w:type="dxa"/>
                  <w:vMerge w:val="continue"/>
                  <w:vAlign w:val="center"/>
                </w:tcPr>
                <w:p>
                  <w:pPr>
                    <w:pStyle w:val="75"/>
                    <w:spacing w:before="24" w:after="24"/>
                    <w:rPr>
                      <w:color w:val="auto"/>
                    </w:rPr>
                  </w:pPr>
                </w:p>
              </w:tc>
              <w:tc>
                <w:tcPr>
                  <w:tcW w:w="2861" w:type="dxa"/>
                  <w:tcBorders>
                    <w:top w:val="single" w:color="000000" w:sz="4" w:space="0"/>
                    <w:bottom w:val="single" w:color="000000" w:sz="4" w:space="0"/>
                    <w:right w:val="single" w:color="000000" w:sz="4" w:space="0"/>
                  </w:tcBorders>
                  <w:vAlign w:val="center"/>
                </w:tcPr>
                <w:p>
                  <w:pPr>
                    <w:pStyle w:val="75"/>
                    <w:spacing w:before="24" w:after="24"/>
                    <w:rPr>
                      <w:color w:val="auto"/>
                    </w:rPr>
                  </w:pPr>
                  <w:r>
                    <w:rPr>
                      <w:color w:val="auto"/>
                    </w:rPr>
                    <w:t>昼间</w:t>
                  </w:r>
                </w:p>
              </w:tc>
              <w:tc>
                <w:tcPr>
                  <w:tcW w:w="2617" w:type="dxa"/>
                  <w:tcBorders>
                    <w:top w:val="single" w:color="000000" w:sz="4" w:space="0"/>
                    <w:left w:val="single" w:color="000000" w:sz="4" w:space="0"/>
                    <w:bottom w:val="single" w:color="000000" w:sz="4" w:space="0"/>
                  </w:tcBorders>
                  <w:vAlign w:val="center"/>
                </w:tcPr>
                <w:p>
                  <w:pPr>
                    <w:pStyle w:val="75"/>
                    <w:spacing w:before="24" w:after="24"/>
                    <w:rPr>
                      <w:color w:val="auto"/>
                    </w:rPr>
                  </w:pPr>
                  <w:r>
                    <w:rPr>
                      <w:color w:val="auto"/>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3381" w:type="dxa"/>
                  <w:vAlign w:val="center"/>
                </w:tcPr>
                <w:p>
                  <w:pPr>
                    <w:pStyle w:val="75"/>
                    <w:spacing w:before="24" w:after="24"/>
                    <w:rPr>
                      <w:color w:val="auto"/>
                    </w:rPr>
                  </w:pPr>
                  <w:r>
                    <w:rPr>
                      <w:color w:val="auto"/>
                    </w:rPr>
                    <w:t>2类</w:t>
                  </w:r>
                </w:p>
              </w:tc>
              <w:tc>
                <w:tcPr>
                  <w:tcW w:w="2861" w:type="dxa"/>
                  <w:tcBorders>
                    <w:top w:val="single" w:color="000000" w:sz="4" w:space="0"/>
                    <w:right w:val="single" w:color="000000" w:sz="4" w:space="0"/>
                  </w:tcBorders>
                  <w:vAlign w:val="center"/>
                </w:tcPr>
                <w:p>
                  <w:pPr>
                    <w:pStyle w:val="75"/>
                    <w:spacing w:before="24" w:after="24"/>
                    <w:rPr>
                      <w:color w:val="auto"/>
                    </w:rPr>
                  </w:pPr>
                  <w:r>
                    <w:rPr>
                      <w:color w:val="auto"/>
                    </w:rPr>
                    <w:t>60</w:t>
                  </w:r>
                </w:p>
              </w:tc>
              <w:tc>
                <w:tcPr>
                  <w:tcW w:w="2617" w:type="dxa"/>
                  <w:tcBorders>
                    <w:top w:val="single" w:color="000000" w:sz="4" w:space="0"/>
                    <w:left w:val="single" w:color="000000" w:sz="4" w:space="0"/>
                  </w:tcBorders>
                  <w:vAlign w:val="center"/>
                </w:tcPr>
                <w:p>
                  <w:pPr>
                    <w:pStyle w:val="75"/>
                    <w:spacing w:before="24" w:after="24"/>
                    <w:rPr>
                      <w:color w:val="auto"/>
                    </w:rPr>
                  </w:pPr>
                  <w:r>
                    <w:rPr>
                      <w:color w:val="auto"/>
                    </w:rPr>
                    <w:t>50</w:t>
                  </w:r>
                </w:p>
              </w:tc>
            </w:tr>
          </w:tbl>
          <w:p>
            <w:pPr>
              <w:widowControl/>
              <w:spacing w:line="360" w:lineRule="auto"/>
              <w:ind w:firstLine="482" w:firstLineChars="200"/>
              <w:rPr>
                <w:color w:val="auto"/>
                <w:kern w:val="0"/>
                <w:sz w:val="24"/>
              </w:rPr>
            </w:pPr>
            <w:r>
              <w:rPr>
                <w:b/>
                <w:bCs/>
                <w:color w:val="auto"/>
                <w:kern w:val="0"/>
                <w:sz w:val="24"/>
              </w:rPr>
              <w:t>4、固体废弃物</w:t>
            </w:r>
          </w:p>
          <w:p>
            <w:pPr>
              <w:spacing w:line="360" w:lineRule="auto"/>
              <w:ind w:firstLine="480" w:firstLineChars="200"/>
              <w:rPr>
                <w:b/>
                <w:bCs/>
                <w:color w:val="auto"/>
                <w:sz w:val="24"/>
              </w:rPr>
            </w:pPr>
            <w:r>
              <w:rPr>
                <w:color w:val="auto"/>
                <w:sz w:val="24"/>
              </w:rPr>
              <w:t>一般工业固废处置执行《一般工业固体废弃物贮存和填埋污染控制标准》（GB18599-2020）；危险固体废物执行《危险废物贮存污染控制标准》(GB18597-2001)及其2013年修改单要求；《生活垃圾填埋场污染控制标准》（GB16889-2008）中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3" w:hRule="atLeast"/>
          <w:jc w:val="center"/>
        </w:trPr>
        <w:tc>
          <w:tcPr>
            <w:tcW w:w="454" w:type="dxa"/>
            <w:vAlign w:val="center"/>
          </w:tcPr>
          <w:p>
            <w:pPr>
              <w:adjustRightInd w:val="0"/>
              <w:snapToGrid w:val="0"/>
              <w:jc w:val="center"/>
              <w:rPr>
                <w:color w:val="auto"/>
                <w:kern w:val="0"/>
                <w:sz w:val="24"/>
              </w:rPr>
            </w:pPr>
            <w:r>
              <w:rPr>
                <w:color w:val="auto"/>
                <w:kern w:val="0"/>
                <w:sz w:val="24"/>
              </w:rPr>
              <w:t>总量</w:t>
            </w:r>
          </w:p>
          <w:p>
            <w:pPr>
              <w:adjustRightInd w:val="0"/>
              <w:snapToGrid w:val="0"/>
              <w:jc w:val="center"/>
              <w:rPr>
                <w:color w:val="auto"/>
                <w:kern w:val="0"/>
                <w:sz w:val="24"/>
              </w:rPr>
            </w:pPr>
            <w:r>
              <w:rPr>
                <w:color w:val="auto"/>
                <w:kern w:val="0"/>
                <w:sz w:val="24"/>
              </w:rPr>
              <w:t>控制</w:t>
            </w:r>
          </w:p>
          <w:p>
            <w:pPr>
              <w:adjustRightInd w:val="0"/>
              <w:snapToGrid w:val="0"/>
              <w:jc w:val="center"/>
              <w:rPr>
                <w:color w:val="auto"/>
                <w:kern w:val="0"/>
                <w:sz w:val="24"/>
              </w:rPr>
            </w:pPr>
            <w:r>
              <w:rPr>
                <w:color w:val="auto"/>
                <w:kern w:val="0"/>
                <w:sz w:val="24"/>
              </w:rPr>
              <w:t>指标</w:t>
            </w:r>
          </w:p>
        </w:tc>
        <w:tc>
          <w:tcPr>
            <w:tcW w:w="9005" w:type="dxa"/>
            <w:vAlign w:val="center"/>
          </w:tcPr>
          <w:p>
            <w:pPr>
              <w:spacing w:line="360" w:lineRule="auto"/>
              <w:ind w:firstLine="480" w:firstLineChars="200"/>
              <w:rPr>
                <w:color w:val="auto"/>
                <w:kern w:val="0"/>
                <w:sz w:val="24"/>
              </w:rPr>
            </w:pPr>
            <w:r>
              <w:rPr>
                <w:color w:val="auto"/>
                <w:kern w:val="0"/>
                <w:sz w:val="24"/>
              </w:rPr>
              <w:t>依据工程分析，项目营运期无生产废水外排；本项目营运期大气污染物无SO</w:t>
            </w:r>
            <w:r>
              <w:rPr>
                <w:color w:val="auto"/>
                <w:kern w:val="0"/>
                <w:sz w:val="24"/>
                <w:vertAlign w:val="subscript"/>
              </w:rPr>
              <w:t>2</w:t>
            </w:r>
            <w:r>
              <w:rPr>
                <w:color w:val="auto"/>
                <w:kern w:val="0"/>
                <w:sz w:val="24"/>
              </w:rPr>
              <w:t>、NO</w:t>
            </w:r>
            <w:r>
              <w:rPr>
                <w:color w:val="auto"/>
                <w:kern w:val="0"/>
                <w:sz w:val="24"/>
                <w:vertAlign w:val="subscript"/>
              </w:rPr>
              <w:t>x</w:t>
            </w:r>
            <w:r>
              <w:rPr>
                <w:color w:val="auto"/>
                <w:kern w:val="0"/>
                <w:sz w:val="24"/>
              </w:rPr>
              <w:t>排放。项目排放粉尘经处理后无组织排放；固体废物处置率为100%。</w:t>
            </w:r>
          </w:p>
          <w:p>
            <w:pPr>
              <w:spacing w:line="360" w:lineRule="auto"/>
              <w:ind w:firstLine="480" w:firstLineChars="200"/>
              <w:rPr>
                <w:color w:val="auto"/>
                <w:sz w:val="24"/>
              </w:rPr>
            </w:pPr>
            <w:r>
              <w:rPr>
                <w:color w:val="auto"/>
                <w:sz w:val="24"/>
              </w:rPr>
              <w:t>故本项目不需要设置总量控制指标。</w:t>
            </w:r>
          </w:p>
          <w:p>
            <w:pPr>
              <w:pStyle w:val="6"/>
              <w:rPr>
                <w:color w:val="auto"/>
              </w:rPr>
            </w:pPr>
          </w:p>
          <w:p>
            <w:pPr>
              <w:rPr>
                <w:color w:val="auto"/>
              </w:rPr>
            </w:pPr>
          </w:p>
          <w:p>
            <w:pPr>
              <w:pStyle w:val="6"/>
              <w:rPr>
                <w:color w:val="auto"/>
              </w:rPr>
            </w:pPr>
          </w:p>
          <w:p>
            <w:pPr>
              <w:rPr>
                <w:color w:val="auto"/>
              </w:rPr>
            </w:pPr>
          </w:p>
          <w:p>
            <w:pPr>
              <w:pStyle w:val="6"/>
              <w:rPr>
                <w:color w:val="auto"/>
              </w:rPr>
            </w:pPr>
          </w:p>
          <w:p>
            <w:pPr>
              <w:pStyle w:val="6"/>
              <w:rPr>
                <w:color w:val="auto"/>
              </w:rPr>
            </w:pPr>
          </w:p>
          <w:p>
            <w:pPr>
              <w:rPr>
                <w:color w:val="auto"/>
              </w:rPr>
            </w:pPr>
          </w:p>
          <w:p>
            <w:pPr>
              <w:pStyle w:val="6"/>
              <w:rPr>
                <w:color w:val="auto"/>
              </w:rPr>
            </w:pPr>
          </w:p>
          <w:p>
            <w:pPr>
              <w:rPr>
                <w:color w:val="auto"/>
              </w:rPr>
            </w:pPr>
          </w:p>
          <w:p>
            <w:pPr>
              <w:pStyle w:val="6"/>
              <w:rPr>
                <w:color w:val="auto"/>
              </w:rPr>
            </w:pPr>
          </w:p>
          <w:p>
            <w:pPr>
              <w:rPr>
                <w:color w:val="auto"/>
              </w:rPr>
            </w:pPr>
          </w:p>
        </w:tc>
      </w:tr>
    </w:tbl>
    <w:p>
      <w:pPr>
        <w:pStyle w:val="22"/>
        <w:jc w:val="center"/>
        <w:outlineLvl w:val="0"/>
        <w:rPr>
          <w:rFonts w:ascii="Times New Roman" w:hAnsi="Times New Roman" w:eastAsia="黑体"/>
          <w:b/>
          <w:snapToGrid w:val="0"/>
          <w:sz w:val="30"/>
          <w:szCs w:val="30"/>
        </w:rPr>
      </w:pPr>
      <w:r>
        <w:rPr>
          <w:rFonts w:ascii="Times New Roman" w:hAnsi="Times New Roman" w:eastAsia="黑体"/>
          <w:b/>
          <w:snapToGrid w:val="0"/>
          <w:sz w:val="36"/>
          <w:szCs w:val="36"/>
        </w:rPr>
        <w:br w:type="page"/>
      </w:r>
      <w:bookmarkStart w:id="15" w:name="_Toc30839"/>
      <w:r>
        <w:rPr>
          <w:rFonts w:ascii="Times New Roman" w:hAnsi="Times New Roman" w:eastAsia="黑体"/>
          <w:b/>
          <w:snapToGrid w:val="0"/>
          <w:sz w:val="30"/>
          <w:szCs w:val="30"/>
        </w:rPr>
        <w:t>四、主要环境影响和保护措施</w:t>
      </w:r>
      <w:bookmarkEnd w:id="15"/>
    </w:p>
    <w:tbl>
      <w:tblPr>
        <w:tblStyle w:val="25"/>
        <w:tblW w:w="93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8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5" w:hRule="atLeast"/>
          <w:jc w:val="center"/>
        </w:trPr>
        <w:tc>
          <w:tcPr>
            <w:tcW w:w="784" w:type="dxa"/>
            <w:tcMar>
              <w:left w:w="28" w:type="dxa"/>
              <w:right w:w="28" w:type="dxa"/>
            </w:tcMar>
            <w:vAlign w:val="center"/>
          </w:tcPr>
          <w:p>
            <w:pPr>
              <w:pStyle w:val="22"/>
              <w:adjustRightInd w:val="0"/>
              <w:snapToGrid w:val="0"/>
              <w:spacing w:before="0" w:beforeAutospacing="0" w:after="0" w:afterAutospacing="0"/>
              <w:jc w:val="center"/>
              <w:rPr>
                <w:rFonts w:ascii="Times New Roman" w:hAnsi="Times New Roman"/>
                <w:kern w:val="2"/>
                <w:szCs w:val="24"/>
              </w:rPr>
            </w:pPr>
            <w:r>
              <w:rPr>
                <w:rFonts w:ascii="Times New Roman" w:hAnsi="Times New Roman"/>
                <w:kern w:val="2"/>
                <w:szCs w:val="24"/>
              </w:rPr>
              <w:t>施工</w:t>
            </w:r>
          </w:p>
          <w:p>
            <w:pPr>
              <w:pStyle w:val="22"/>
              <w:adjustRightInd w:val="0"/>
              <w:snapToGrid w:val="0"/>
              <w:spacing w:before="0" w:beforeAutospacing="0" w:after="0" w:afterAutospacing="0"/>
              <w:jc w:val="center"/>
              <w:rPr>
                <w:rFonts w:ascii="Times New Roman" w:hAnsi="Times New Roman"/>
                <w:kern w:val="2"/>
                <w:szCs w:val="24"/>
              </w:rPr>
            </w:pPr>
            <w:r>
              <w:rPr>
                <w:rFonts w:ascii="Times New Roman" w:hAnsi="Times New Roman"/>
                <w:kern w:val="2"/>
                <w:szCs w:val="24"/>
              </w:rPr>
              <w:t>期环</w:t>
            </w:r>
          </w:p>
          <w:p>
            <w:pPr>
              <w:pStyle w:val="22"/>
              <w:adjustRightInd w:val="0"/>
              <w:snapToGrid w:val="0"/>
              <w:spacing w:before="0" w:beforeAutospacing="0" w:after="0" w:afterAutospacing="0"/>
              <w:jc w:val="center"/>
              <w:rPr>
                <w:rFonts w:ascii="Times New Roman" w:hAnsi="Times New Roman"/>
                <w:kern w:val="2"/>
                <w:szCs w:val="24"/>
              </w:rPr>
            </w:pPr>
            <w:r>
              <w:rPr>
                <w:rFonts w:ascii="Times New Roman" w:hAnsi="Times New Roman"/>
                <w:kern w:val="2"/>
                <w:szCs w:val="24"/>
              </w:rPr>
              <w:t>境保</w:t>
            </w:r>
          </w:p>
          <w:p>
            <w:pPr>
              <w:pStyle w:val="22"/>
              <w:adjustRightInd w:val="0"/>
              <w:snapToGrid w:val="0"/>
              <w:spacing w:before="0" w:beforeAutospacing="0" w:after="0" w:afterAutospacing="0"/>
              <w:jc w:val="center"/>
              <w:rPr>
                <w:rFonts w:ascii="Times New Roman" w:hAnsi="Times New Roman"/>
                <w:kern w:val="2"/>
                <w:szCs w:val="24"/>
              </w:rPr>
            </w:pPr>
            <w:r>
              <w:rPr>
                <w:rFonts w:ascii="Times New Roman" w:hAnsi="Times New Roman"/>
                <w:kern w:val="2"/>
                <w:szCs w:val="24"/>
              </w:rPr>
              <w:t>护措</w:t>
            </w:r>
          </w:p>
          <w:p>
            <w:pPr>
              <w:pStyle w:val="22"/>
              <w:adjustRightInd w:val="0"/>
              <w:snapToGrid w:val="0"/>
              <w:spacing w:before="0" w:beforeAutospacing="0" w:after="0" w:afterAutospacing="0"/>
              <w:jc w:val="center"/>
              <w:rPr>
                <w:rFonts w:ascii="Times New Roman" w:hAnsi="Times New Roman"/>
                <w:bCs/>
                <w:kern w:val="2"/>
                <w:szCs w:val="24"/>
              </w:rPr>
            </w:pPr>
            <w:r>
              <w:rPr>
                <w:rFonts w:ascii="Times New Roman" w:hAnsi="Times New Roman"/>
                <w:kern w:val="2"/>
                <w:szCs w:val="24"/>
              </w:rPr>
              <w:t>施</w:t>
            </w:r>
          </w:p>
        </w:tc>
        <w:tc>
          <w:tcPr>
            <w:tcW w:w="8593" w:type="dxa"/>
            <w:vAlign w:val="center"/>
          </w:tcPr>
          <w:p>
            <w:pPr>
              <w:widowControl/>
              <w:spacing w:line="360" w:lineRule="auto"/>
              <w:ind w:firstLine="482" w:firstLineChars="200"/>
              <w:rPr>
                <w:b/>
                <w:bCs/>
                <w:sz w:val="24"/>
              </w:rPr>
            </w:pPr>
            <w:r>
              <w:rPr>
                <w:b/>
                <w:bCs/>
                <w:sz w:val="24"/>
              </w:rPr>
              <w:t>4.1.1、施工期污染源分析</w:t>
            </w:r>
          </w:p>
          <w:p>
            <w:pPr>
              <w:pStyle w:val="80"/>
            </w:pPr>
            <w:r>
              <w:t>一、施工期水环境影响分析</w:t>
            </w:r>
          </w:p>
          <w:p>
            <w:pPr>
              <w:pStyle w:val="80"/>
            </w:pPr>
            <w:r>
              <w:t>项目施工人员租用当地民房食宿，在施工场地内产生的生活污水经旱厕收集后委托周边农户清掏用做施肥。</w:t>
            </w:r>
          </w:p>
          <w:p>
            <w:pPr>
              <w:pStyle w:val="80"/>
            </w:pPr>
            <w:r>
              <w:t>施工废水主要为机械清洗废水及混凝土保养废水，本环评提出施工期设置临时隔油沉淀池1个，容积为5m</w:t>
            </w:r>
            <w:r>
              <w:rPr>
                <w:vertAlign w:val="superscript"/>
              </w:rPr>
              <w:t>3</w:t>
            </w:r>
            <w:r>
              <w:t>，施工废水经临时隔油沉淀池处理后回用于项目区降尘，不外排。</w:t>
            </w:r>
          </w:p>
          <w:p>
            <w:pPr>
              <w:pStyle w:val="80"/>
            </w:pPr>
            <w:r>
              <w:t>二、施工期环境空气影响分析</w:t>
            </w:r>
          </w:p>
          <w:p>
            <w:pPr>
              <w:pStyle w:val="80"/>
            </w:pPr>
            <w:r>
              <w:t>1、施工扬尘</w:t>
            </w:r>
          </w:p>
          <w:p>
            <w:pPr>
              <w:pStyle w:val="80"/>
            </w:pPr>
            <w:r>
              <w:t>项目施工期对环境空气影响的主要污染物为粉尘。</w:t>
            </w:r>
          </w:p>
          <w:p>
            <w:pPr>
              <w:pStyle w:val="80"/>
            </w:pPr>
            <w:r>
              <w:t>为使施工过程中产生的粉尘、扬尘影响降低到最低程度，建议采取以下措施：</w:t>
            </w:r>
          </w:p>
          <w:p>
            <w:pPr>
              <w:pStyle w:val="80"/>
            </w:pPr>
            <w:r>
              <w:rPr>
                <w:rFonts w:hint="eastAsia" w:ascii="宋体" w:hAnsi="宋体" w:cs="宋体"/>
              </w:rPr>
              <w:t>①</w:t>
            </w:r>
            <w:r>
              <w:t xml:space="preserve"> 开挖过程中，应喷雾使作业面保持一定的湿度；对施工场地内松散、干涸的表土，也应经常喷雾防止粉尘；回填土方时，在表层土质干燥时应适当喷雾，防止粉尘飞扬。</w:t>
            </w:r>
          </w:p>
          <w:p>
            <w:pPr>
              <w:pStyle w:val="80"/>
            </w:pPr>
            <w:r>
              <w:rPr>
                <w:rFonts w:hint="eastAsia" w:ascii="宋体" w:hAnsi="宋体" w:cs="宋体"/>
              </w:rPr>
              <w:t>②</w:t>
            </w:r>
            <w:r>
              <w:t xml:space="preserve"> 加强回填土方堆放场的管理，要制定土方表面压实、定期喷水、覆盖等措施；不需要的泥土，建筑材料弃渣应及时运走，不宜长时间堆积。</w:t>
            </w:r>
          </w:p>
          <w:p>
            <w:pPr>
              <w:pStyle w:val="80"/>
            </w:pPr>
            <w:r>
              <w:rPr>
                <w:rFonts w:hint="eastAsia" w:ascii="宋体" w:hAnsi="宋体" w:cs="宋体"/>
              </w:rPr>
              <w:t>③</w:t>
            </w:r>
            <w:r>
              <w:t xml:space="preserve"> 运土卡车及建筑材料运输车应按规定配置防洒落设备，装载不宜过满，保证运输过程中不散落；并规划好运输车辆的运行路线与时间，昼间避免在繁华区、交通集中区和居民住宅区等敏感区行驶。</w:t>
            </w:r>
          </w:p>
          <w:p>
            <w:pPr>
              <w:pStyle w:val="80"/>
            </w:pPr>
            <w:r>
              <w:rPr>
                <w:rFonts w:hint="eastAsia" w:ascii="宋体" w:hAnsi="宋体" w:cs="宋体"/>
              </w:rPr>
              <w:t>④</w:t>
            </w:r>
            <w:r>
              <w:t xml:space="preserve"> 对运输过程中散落在地面上的泥土要及时清扫，以减少运行过程中扬尘，堆场采用防尘网遮盖和施工厂界周围建设围墙减少扬尘对环境的影响。</w:t>
            </w:r>
          </w:p>
          <w:p>
            <w:pPr>
              <w:pStyle w:val="80"/>
            </w:pPr>
            <w:r>
              <w:t>2、施工机械尾气对环境的影响</w:t>
            </w:r>
          </w:p>
          <w:p>
            <w:pPr>
              <w:pStyle w:val="80"/>
            </w:pPr>
            <w:r>
              <w:t>项目施工过程中以燃油为动力的施工机械、运输车辆会在施工场地附近排放少量燃油废气，施工单位应加强施工机械设备维护，选用合格的燃油，避免排放未完全燃烧的黑烟，减轻机械尾气对周围空气环境的影响。</w:t>
            </w:r>
          </w:p>
          <w:p>
            <w:pPr>
              <w:pStyle w:val="80"/>
            </w:pPr>
            <w:r>
              <w:t>3、车辆行驶动力扬尘</w:t>
            </w:r>
          </w:p>
          <w:p>
            <w:pPr>
              <w:pStyle w:val="80"/>
            </w:pPr>
            <w:r>
              <w:t>为控制施工期扬尘对周围环境的影响，本工程施工期应特别注意防尘问题，施工中通过对项目区采取喷雾降尘、车速限制、物料封闭堆存及运输、合理布置堆场等，以减少施工扬尘对周围环境的影响。</w:t>
            </w:r>
          </w:p>
          <w:p>
            <w:pPr>
              <w:pStyle w:val="80"/>
            </w:pPr>
            <w:r>
              <w:t>4、装修过程废气</w:t>
            </w:r>
          </w:p>
          <w:p>
            <w:pPr>
              <w:pStyle w:val="80"/>
            </w:pPr>
            <w:r>
              <w:t>项目主体工程完成后，室内装修过程将会有挥发性有机气体产生，该废气的排放属无组织排放。</w:t>
            </w:r>
          </w:p>
          <w:p>
            <w:pPr>
              <w:pStyle w:val="80"/>
            </w:pPr>
            <w:r>
              <w:t>建设单位只要采用符合标准的建筑材料，选择环保型油漆和水性涂料，保证建材、有机溶剂和辅助添加剂无毒无害，做到健康设计原则，并加强室内通风，基本不会对环境产生较大的影响。</w:t>
            </w:r>
          </w:p>
          <w:p>
            <w:pPr>
              <w:pStyle w:val="80"/>
            </w:pPr>
            <w:r>
              <w:t>三、施工期声环境影响分析</w:t>
            </w:r>
          </w:p>
          <w:p>
            <w:pPr>
              <w:pStyle w:val="80"/>
            </w:pPr>
            <w:r>
              <w:t>施工期对声环境的影响主要是施工噪声，噪声主要来源于施工机械和运输车辆。</w:t>
            </w:r>
          </w:p>
          <w:p>
            <w:pPr>
              <w:pStyle w:val="80"/>
            </w:pPr>
            <w:r>
              <w:t>为减少项目施工期噪声对周围声环境的影响，本环评建议：</w:t>
            </w:r>
          </w:p>
          <w:p>
            <w:pPr>
              <w:pStyle w:val="80"/>
            </w:pPr>
            <w:r>
              <w:rPr>
                <w:rFonts w:hint="eastAsia" w:ascii="宋体" w:hAnsi="宋体" w:cs="宋体"/>
              </w:rPr>
              <w:t>①</w:t>
            </w:r>
            <w:r>
              <w:t xml:space="preserve"> 合理安排施工时间，在距离南侧居民区较近一侧高噪声设备尽量不同时作业。</w:t>
            </w:r>
          </w:p>
          <w:p>
            <w:pPr>
              <w:pStyle w:val="80"/>
            </w:pPr>
            <w:r>
              <w:rPr>
                <w:rFonts w:hint="eastAsia" w:ascii="宋体" w:hAnsi="宋体" w:cs="宋体"/>
              </w:rPr>
              <w:t>②</w:t>
            </w:r>
            <w:r>
              <w:t xml:space="preserve"> 选用低噪声机械，对产噪较大的机械进行隔声及减振处理等措施；</w:t>
            </w:r>
          </w:p>
          <w:p>
            <w:pPr>
              <w:pStyle w:val="80"/>
            </w:pPr>
            <w:r>
              <w:rPr>
                <w:rFonts w:hint="eastAsia" w:ascii="宋体" w:hAnsi="宋体" w:cs="宋体"/>
              </w:rPr>
              <w:t>③</w:t>
            </w:r>
            <w:r>
              <w:t xml:space="preserve"> 禁止在22时至次日6时、12时至14时进行建筑施工作业，午休时间不作业，但抢修、抢险作业和因混凝土浇灌等生产工艺需要连续作业的除外。</w:t>
            </w:r>
          </w:p>
          <w:p>
            <w:pPr>
              <w:pStyle w:val="80"/>
            </w:pPr>
            <w:r>
              <w:rPr>
                <w:rFonts w:hint="eastAsia" w:ascii="宋体" w:hAnsi="宋体" w:cs="宋体"/>
              </w:rPr>
              <w:t>④</w:t>
            </w:r>
            <w:r>
              <w:t xml:space="preserve"> 施工中固定设备靠内侧设置，固定声源远离居民区一侧布置。</w:t>
            </w:r>
          </w:p>
          <w:p>
            <w:pPr>
              <w:pStyle w:val="80"/>
            </w:pPr>
            <w:r>
              <w:rPr>
                <w:rFonts w:hint="eastAsia" w:ascii="宋体" w:hAnsi="宋体" w:cs="宋体"/>
              </w:rPr>
              <w:t>⑤</w:t>
            </w:r>
            <w:r>
              <w:t xml:space="preserve"> 加强对施工人员的管理，做到文明施工，避免人为噪声的产生。</w:t>
            </w:r>
          </w:p>
          <w:p>
            <w:pPr>
              <w:pStyle w:val="80"/>
            </w:pPr>
            <w:r>
              <w:rPr>
                <w:rFonts w:hint="eastAsia" w:ascii="宋体" w:hAnsi="宋体" w:cs="宋体"/>
              </w:rPr>
              <w:t>⑥</w:t>
            </w:r>
            <w:r>
              <w:t xml:space="preserve"> 项目施工期间应与施工方签订环境管理责任书，具体落实施工期噪声防治措施，减轻对声环境的不利影响，建设单位还应在施工前提前告知周边住户，争取周边居民的理解，对产生噪声而影响到居民，建设单位应与周边住户协商、赔偿解决。</w:t>
            </w:r>
          </w:p>
          <w:p>
            <w:pPr>
              <w:pStyle w:val="80"/>
              <w:ind w:firstLineChars="0"/>
            </w:pPr>
            <w:r>
              <w:t>四、施工期固体废物影响分析</w:t>
            </w:r>
          </w:p>
          <w:p>
            <w:pPr>
              <w:pStyle w:val="80"/>
              <w:ind w:firstLineChars="0"/>
            </w:pPr>
            <w:r>
              <w:t>1、施工固体废物</w:t>
            </w:r>
          </w:p>
          <w:p>
            <w:pPr>
              <w:pStyle w:val="80"/>
              <w:ind w:firstLineChars="0"/>
            </w:pPr>
            <w:r>
              <w:t>本项目施工固体废物主要来自施工场所产生的建筑垃圾、废弃土石方和施工人员生活垃圾。</w:t>
            </w:r>
          </w:p>
          <w:p>
            <w:pPr>
              <w:pStyle w:val="80"/>
            </w:pPr>
            <w:r>
              <w:rPr>
                <w:rFonts w:hint="eastAsia" w:ascii="宋体" w:hAnsi="宋体" w:cs="宋体"/>
              </w:rPr>
              <w:t>①</w:t>
            </w:r>
            <w:r>
              <w:t xml:space="preserve"> 装修垃圾</w:t>
            </w:r>
          </w:p>
          <w:p>
            <w:pPr>
              <w:pStyle w:val="80"/>
            </w:pPr>
            <w:r>
              <w:t>项目在装修阶段会产生一定的装修垃圾，其中包括废纸、废塑料、玻璃、水泥、废砖等。本环评提出，废纸、废塑料可回收利用的收集后外卖给废品回收站，玻璃、水泥、废砖等不可回收利用的收集后运往白石镇住建部门指定处置地点处置。</w:t>
            </w:r>
          </w:p>
          <w:p>
            <w:pPr>
              <w:pStyle w:val="80"/>
            </w:pPr>
            <w:r>
              <w:rPr>
                <w:rFonts w:hint="eastAsia" w:ascii="宋体" w:hAnsi="宋体" w:cs="宋体"/>
              </w:rPr>
              <w:t>②</w:t>
            </w:r>
            <w:r>
              <w:t xml:space="preserve"> 土石方</w:t>
            </w:r>
          </w:p>
          <w:p>
            <w:pPr>
              <w:pStyle w:val="80"/>
            </w:pPr>
            <w:r>
              <w:t>本项目租用土地时已进行了平整，后期项目建设开挖方较少，可全部用于项目区回填，无废弃土石方产生。</w:t>
            </w:r>
          </w:p>
          <w:p>
            <w:pPr>
              <w:pStyle w:val="80"/>
            </w:pPr>
            <w:r>
              <w:rPr>
                <w:rFonts w:hint="eastAsia" w:ascii="宋体" w:hAnsi="宋体" w:cs="宋体"/>
              </w:rPr>
              <w:t>③</w:t>
            </w:r>
            <w:r>
              <w:t xml:space="preserve"> 生活垃圾</w:t>
            </w:r>
          </w:p>
          <w:p>
            <w:pPr>
              <w:pStyle w:val="80"/>
            </w:pPr>
            <w:r>
              <w:t>生活垃圾分类收集，其中可回收利用的收集后外卖给废品回收站，不可回收利用的收集后运往白石镇生活垃圾定点堆存处。</w:t>
            </w:r>
          </w:p>
          <w:p>
            <w:pPr>
              <w:pStyle w:val="80"/>
            </w:pPr>
            <w:r>
              <w:t>（2）施工期固体废物污染防治对策</w:t>
            </w:r>
          </w:p>
          <w:p>
            <w:pPr>
              <w:pStyle w:val="80"/>
            </w:pPr>
            <w:r>
              <w:rPr>
                <w:rFonts w:hint="eastAsia" w:ascii="宋体" w:hAnsi="宋体" w:cs="宋体"/>
              </w:rPr>
              <w:t>①</w:t>
            </w:r>
            <w:r>
              <w:t xml:space="preserve">车辆运输散体物料和废弃物时，必须密闭、包扎、覆盖，不得沿途漏撒；运载土方的车辆必须在规定的时间内，按指定路段行驶； </w:t>
            </w:r>
          </w:p>
          <w:p>
            <w:pPr>
              <w:pStyle w:val="80"/>
            </w:pPr>
            <w:r>
              <w:rPr>
                <w:rFonts w:hint="eastAsia" w:ascii="宋体" w:hAnsi="宋体" w:cs="宋体"/>
              </w:rPr>
              <w:t>②</w:t>
            </w:r>
            <w:r>
              <w:t>产生的建筑垃圾必须按指定的地点堆放，并及时清理；废弃土石方场内暂存后应尽快回填利用；</w:t>
            </w:r>
          </w:p>
          <w:p>
            <w:pPr>
              <w:pStyle w:val="80"/>
            </w:pPr>
            <w:r>
              <w:rPr>
                <w:rFonts w:hint="eastAsia" w:ascii="宋体" w:hAnsi="宋体" w:cs="宋体"/>
              </w:rPr>
              <w:t>③</w:t>
            </w:r>
            <w:r>
              <w:t xml:space="preserve">施工人员产生的生活垃圾要集中定点收集，不得任意堆放和丢弃，以减少对环境的影响； </w:t>
            </w:r>
          </w:p>
          <w:p>
            <w:pPr>
              <w:pStyle w:val="80"/>
            </w:pPr>
            <w:r>
              <w:rPr>
                <w:rFonts w:hint="eastAsia" w:ascii="宋体" w:hAnsi="宋体" w:cs="宋体"/>
              </w:rPr>
              <w:t>④</w:t>
            </w:r>
            <w:r>
              <w:t>加强施工现场的管理及施工人员的教育，禁止随地乱丢垃圾、杂物，保持工作和生活环境的整洁。</w:t>
            </w:r>
          </w:p>
          <w:p>
            <w:pPr>
              <w:pStyle w:val="80"/>
            </w:pPr>
            <w:r>
              <w:t>通过上述措施，本项目施工期产生的固体废物可得到妥善处理，不会对周围环境产生明显影响。</w:t>
            </w:r>
          </w:p>
          <w:p>
            <w:pPr>
              <w:pStyle w:val="80"/>
            </w:pPr>
            <w:r>
              <w:t>五、施工期生态环境影响分析</w:t>
            </w:r>
          </w:p>
          <w:p>
            <w:pPr>
              <w:pStyle w:val="80"/>
            </w:pPr>
            <w:r>
              <w:t>本项目位于大理白族自治州云龙县白石镇中和村，项目用地为空地，地表无明显植被，因此，该施工期对生态环境的影响主要是土石方开挖造成的水土流失。</w:t>
            </w:r>
          </w:p>
          <w:p>
            <w:pPr>
              <w:pStyle w:val="80"/>
            </w:pPr>
            <w:r>
              <w:t>本项目能造成水土流失的方面主要在建设过程中。因此应当在建设期做好水土保持措施。</w:t>
            </w:r>
          </w:p>
          <w:p>
            <w:pPr>
              <w:pStyle w:val="80"/>
            </w:pPr>
            <w:r>
              <w:t>（1）严格按照相关部门批准的用地指标、建设指标进行开发建设活动，严禁超指标占地，严禁占用基本农田；</w:t>
            </w:r>
          </w:p>
          <w:p>
            <w:pPr>
              <w:pStyle w:val="80"/>
            </w:pPr>
            <w:r>
              <w:t>（2）进一步优化设计及施工，当在后续施工过程中发生施工设计与生态保护严重冲突问题，应以生态保护优先，重新调整设计，并报相关部门批准。</w:t>
            </w:r>
          </w:p>
          <w:p>
            <w:pPr>
              <w:pStyle w:val="80"/>
            </w:pPr>
            <w:r>
              <w:t>（3）施工期开挖出的表土应合理堆放，能回填的尽量回填，用来绿化的表土应尽早种植植物，减少开挖出的表土的裸露时间，降低扬尘对周边环境的影响。</w:t>
            </w:r>
          </w:p>
          <w:p>
            <w:pPr>
              <w:pStyle w:val="80"/>
            </w:pPr>
            <w:r>
              <w:t>（4）临时占地保护措施。严格控制施工范围，尽量减少施工活动区域，施工区域内应对施工机械严格管理，最大限度的减少施工活动对动植物的影响，合理选择施工占地位置。</w:t>
            </w:r>
          </w:p>
          <w:p>
            <w:pPr>
              <w:pStyle w:val="80"/>
            </w:pPr>
            <w:r>
              <w:t>（5）施工完成后，及时处理施工垃圾和固体废弃物，对施工中损害的植被要进行全面绿化恢复，种植当地野生花草灌木和乡土树种。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0" w:hRule="atLeast"/>
          <w:jc w:val="center"/>
        </w:trPr>
        <w:tc>
          <w:tcPr>
            <w:tcW w:w="784" w:type="dxa"/>
            <w:tcMar>
              <w:left w:w="28" w:type="dxa"/>
              <w:right w:w="28" w:type="dxa"/>
            </w:tcMar>
            <w:vAlign w:val="center"/>
          </w:tcPr>
          <w:p>
            <w:pPr>
              <w:adjustRightInd w:val="0"/>
              <w:snapToGrid w:val="0"/>
              <w:jc w:val="center"/>
              <w:rPr>
                <w:bCs/>
                <w:sz w:val="24"/>
              </w:rPr>
            </w:pPr>
            <w:r>
              <w:rPr>
                <w:bCs/>
                <w:sz w:val="24"/>
              </w:rPr>
              <w:t>运营</w:t>
            </w:r>
          </w:p>
          <w:p>
            <w:pPr>
              <w:adjustRightInd w:val="0"/>
              <w:snapToGrid w:val="0"/>
              <w:jc w:val="center"/>
              <w:rPr>
                <w:bCs/>
                <w:sz w:val="24"/>
              </w:rPr>
            </w:pPr>
            <w:r>
              <w:rPr>
                <w:bCs/>
                <w:sz w:val="24"/>
              </w:rPr>
              <w:t>期环</w:t>
            </w:r>
          </w:p>
          <w:p>
            <w:pPr>
              <w:adjustRightInd w:val="0"/>
              <w:snapToGrid w:val="0"/>
              <w:jc w:val="center"/>
              <w:rPr>
                <w:bCs/>
                <w:sz w:val="24"/>
              </w:rPr>
            </w:pPr>
            <w:r>
              <w:rPr>
                <w:bCs/>
                <w:sz w:val="24"/>
              </w:rPr>
              <w:t>境影</w:t>
            </w:r>
          </w:p>
          <w:p>
            <w:pPr>
              <w:adjustRightInd w:val="0"/>
              <w:snapToGrid w:val="0"/>
              <w:jc w:val="center"/>
              <w:rPr>
                <w:bCs/>
                <w:sz w:val="24"/>
              </w:rPr>
            </w:pPr>
            <w:r>
              <w:rPr>
                <w:bCs/>
                <w:sz w:val="24"/>
              </w:rPr>
              <w:t>响和</w:t>
            </w:r>
          </w:p>
          <w:p>
            <w:pPr>
              <w:adjustRightInd w:val="0"/>
              <w:snapToGrid w:val="0"/>
              <w:jc w:val="center"/>
              <w:rPr>
                <w:bCs/>
                <w:sz w:val="24"/>
              </w:rPr>
            </w:pPr>
            <w:r>
              <w:rPr>
                <w:bCs/>
                <w:sz w:val="24"/>
              </w:rPr>
              <w:t>保护</w:t>
            </w:r>
          </w:p>
          <w:p>
            <w:pPr>
              <w:adjustRightInd w:val="0"/>
              <w:snapToGrid w:val="0"/>
              <w:jc w:val="center"/>
              <w:rPr>
                <w:bCs/>
                <w:sz w:val="24"/>
              </w:rPr>
            </w:pPr>
            <w:r>
              <w:rPr>
                <w:bCs/>
                <w:sz w:val="24"/>
              </w:rPr>
              <w:t>措施</w:t>
            </w:r>
          </w:p>
        </w:tc>
        <w:tc>
          <w:tcPr>
            <w:tcW w:w="8593" w:type="dxa"/>
          </w:tcPr>
          <w:p>
            <w:pPr>
              <w:spacing w:line="360" w:lineRule="auto"/>
              <w:ind w:firstLine="482" w:firstLineChars="200"/>
              <w:rPr>
                <w:b/>
                <w:bCs/>
                <w:kern w:val="0"/>
                <w:sz w:val="24"/>
              </w:rPr>
            </w:pPr>
            <w:r>
              <w:rPr>
                <w:b/>
                <w:bCs/>
                <w:kern w:val="0"/>
                <w:sz w:val="24"/>
              </w:rPr>
              <w:t>4.2.1、水环境影响分析</w:t>
            </w:r>
          </w:p>
          <w:p>
            <w:pPr>
              <w:adjustRightInd w:val="0"/>
              <w:snapToGrid w:val="0"/>
              <w:spacing w:line="360" w:lineRule="auto"/>
              <w:ind w:firstLine="480" w:firstLineChars="200"/>
              <w:rPr>
                <w:bCs/>
                <w:sz w:val="24"/>
              </w:rPr>
            </w:pPr>
            <w:r>
              <w:rPr>
                <w:bCs/>
                <w:sz w:val="24"/>
              </w:rPr>
              <w:t>一、项目营运期间废水产排情况</w:t>
            </w:r>
          </w:p>
          <w:p>
            <w:pPr>
              <w:pStyle w:val="80"/>
            </w:pPr>
            <w:r>
              <w:t>（1）生活用水及废水产生量</w:t>
            </w:r>
          </w:p>
          <w:p>
            <w:pPr>
              <w:pStyle w:val="80"/>
            </w:pPr>
            <w:r>
              <w:t>根据工程分析，生活废水产生量约为0.72m</w:t>
            </w:r>
            <w:r>
              <w:rPr>
                <w:vertAlign w:val="superscript"/>
              </w:rPr>
              <w:t>3</w:t>
            </w:r>
            <w:r>
              <w:t>/d、216m</w:t>
            </w:r>
            <w:r>
              <w:rPr>
                <w:vertAlign w:val="superscript"/>
              </w:rPr>
              <w:t>3</w:t>
            </w:r>
            <w:r>
              <w:t>/a。</w:t>
            </w:r>
          </w:p>
          <w:p>
            <w:pPr>
              <w:pStyle w:val="80"/>
            </w:pPr>
            <w:r>
              <w:t>本项目厨房废水经隔油池处理后与其它生活废水一并排入化粪池，废水经化粪池收集处理后用作绿化、林地施肥，不外排。废水主要污染物见下表4-1。</w:t>
            </w:r>
          </w:p>
          <w:p>
            <w:pPr>
              <w:pStyle w:val="71"/>
              <w:rPr>
                <w:rFonts w:cs="Times New Roman"/>
              </w:rPr>
            </w:pPr>
            <w:r>
              <w:rPr>
                <w:rFonts w:cs="Times New Roman"/>
              </w:rPr>
              <w:t>表4-1    废水污染物一览表</w:t>
            </w:r>
          </w:p>
          <w:tbl>
            <w:tblPr>
              <w:tblStyle w:val="25"/>
              <w:tblW w:w="83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8"/>
              <w:gridCol w:w="2788"/>
              <w:gridCol w:w="2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788" w:type="dxa"/>
                  <w:vMerge w:val="restart"/>
                  <w:vAlign w:val="center"/>
                </w:tcPr>
                <w:p>
                  <w:pPr>
                    <w:pStyle w:val="75"/>
                    <w:spacing w:before="24" w:after="24"/>
                  </w:pPr>
                  <w:r>
                    <w:t>主要污染物</w:t>
                  </w:r>
                </w:p>
              </w:tc>
              <w:tc>
                <w:tcPr>
                  <w:tcW w:w="5579" w:type="dxa"/>
                  <w:gridSpan w:val="2"/>
                  <w:vAlign w:val="center"/>
                </w:tcPr>
                <w:p>
                  <w:pPr>
                    <w:pStyle w:val="75"/>
                    <w:spacing w:before="24" w:after="24"/>
                  </w:pPr>
                  <w:r>
                    <w:t>产生情况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788" w:type="dxa"/>
                  <w:vMerge w:val="continue"/>
                  <w:vAlign w:val="center"/>
                </w:tcPr>
                <w:p>
                  <w:pPr>
                    <w:pStyle w:val="75"/>
                    <w:spacing w:before="24" w:after="24"/>
                  </w:pPr>
                </w:p>
              </w:tc>
              <w:tc>
                <w:tcPr>
                  <w:tcW w:w="2788" w:type="dxa"/>
                  <w:vAlign w:val="center"/>
                </w:tcPr>
                <w:p>
                  <w:pPr>
                    <w:pStyle w:val="75"/>
                    <w:spacing w:before="24" w:after="24"/>
                  </w:pPr>
                  <w:r>
                    <w:t>mg/L</w:t>
                  </w:r>
                </w:p>
              </w:tc>
              <w:tc>
                <w:tcPr>
                  <w:tcW w:w="2791" w:type="dxa"/>
                  <w:vAlign w:val="center"/>
                </w:tcPr>
                <w:p>
                  <w:pPr>
                    <w:pStyle w:val="75"/>
                    <w:spacing w:before="24" w:after="24"/>
                  </w:pPr>
                  <w: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788" w:type="dxa"/>
                  <w:vAlign w:val="center"/>
                </w:tcPr>
                <w:p>
                  <w:pPr>
                    <w:pStyle w:val="75"/>
                    <w:spacing w:before="24" w:after="24"/>
                  </w:pPr>
                  <w:r>
                    <w:t>水量</w:t>
                  </w:r>
                </w:p>
              </w:tc>
              <w:tc>
                <w:tcPr>
                  <w:tcW w:w="2788" w:type="dxa"/>
                  <w:vAlign w:val="center"/>
                </w:tcPr>
                <w:p>
                  <w:pPr>
                    <w:pStyle w:val="75"/>
                    <w:spacing w:before="24" w:after="24"/>
                  </w:pPr>
                  <w:r>
                    <w:t>/</w:t>
                  </w:r>
                </w:p>
              </w:tc>
              <w:tc>
                <w:tcPr>
                  <w:tcW w:w="2791" w:type="dxa"/>
                  <w:vAlign w:val="center"/>
                </w:tcPr>
                <w:p>
                  <w:pPr>
                    <w:pStyle w:val="75"/>
                    <w:spacing w:before="24" w:after="24"/>
                  </w:pPr>
                  <w: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788" w:type="dxa"/>
                  <w:vAlign w:val="center"/>
                </w:tcPr>
                <w:p>
                  <w:pPr>
                    <w:pStyle w:val="75"/>
                    <w:spacing w:before="24" w:after="24"/>
                  </w:pPr>
                  <w:r>
                    <w:t>CODcr</w:t>
                  </w:r>
                </w:p>
              </w:tc>
              <w:tc>
                <w:tcPr>
                  <w:tcW w:w="2788" w:type="dxa"/>
                  <w:vAlign w:val="center"/>
                </w:tcPr>
                <w:p>
                  <w:pPr>
                    <w:pStyle w:val="75"/>
                    <w:spacing w:before="24" w:after="24"/>
                  </w:pPr>
                  <w:r>
                    <w:t>300</w:t>
                  </w:r>
                </w:p>
              </w:tc>
              <w:tc>
                <w:tcPr>
                  <w:tcW w:w="2791" w:type="dxa"/>
                  <w:vAlign w:val="center"/>
                </w:tcPr>
                <w:p>
                  <w:pPr>
                    <w:pStyle w:val="75"/>
                    <w:spacing w:before="24" w:after="24"/>
                  </w:pPr>
                  <w:r>
                    <w:t>0.065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2788" w:type="dxa"/>
                  <w:vAlign w:val="center"/>
                </w:tcPr>
                <w:p>
                  <w:pPr>
                    <w:pStyle w:val="75"/>
                    <w:spacing w:before="24" w:after="24"/>
                  </w:pPr>
                  <w:r>
                    <w:t>BOD</w:t>
                  </w:r>
                  <w:r>
                    <w:rPr>
                      <w:vertAlign w:val="subscript"/>
                    </w:rPr>
                    <w:t>5</w:t>
                  </w:r>
                </w:p>
              </w:tc>
              <w:tc>
                <w:tcPr>
                  <w:tcW w:w="2788" w:type="dxa"/>
                  <w:vAlign w:val="center"/>
                </w:tcPr>
                <w:p>
                  <w:pPr>
                    <w:pStyle w:val="75"/>
                    <w:spacing w:before="24" w:after="24"/>
                  </w:pPr>
                  <w:r>
                    <w:t>220</w:t>
                  </w:r>
                </w:p>
              </w:tc>
              <w:tc>
                <w:tcPr>
                  <w:tcW w:w="2791" w:type="dxa"/>
                  <w:vAlign w:val="center"/>
                </w:tcPr>
                <w:p>
                  <w:pPr>
                    <w:pStyle w:val="75"/>
                    <w:spacing w:before="24" w:after="24"/>
                  </w:pPr>
                  <w:r>
                    <w:t>0.048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788" w:type="dxa"/>
                  <w:vAlign w:val="center"/>
                </w:tcPr>
                <w:p>
                  <w:pPr>
                    <w:pStyle w:val="75"/>
                    <w:spacing w:before="24" w:after="24"/>
                  </w:pPr>
                  <w:r>
                    <w:t>氨氮</w:t>
                  </w:r>
                </w:p>
              </w:tc>
              <w:tc>
                <w:tcPr>
                  <w:tcW w:w="2788" w:type="dxa"/>
                  <w:vAlign w:val="center"/>
                </w:tcPr>
                <w:p>
                  <w:pPr>
                    <w:pStyle w:val="75"/>
                    <w:spacing w:before="24" w:after="24"/>
                  </w:pPr>
                  <w:r>
                    <w:t>30</w:t>
                  </w:r>
                </w:p>
              </w:tc>
              <w:tc>
                <w:tcPr>
                  <w:tcW w:w="2791" w:type="dxa"/>
                  <w:vAlign w:val="center"/>
                </w:tcPr>
                <w:p>
                  <w:pPr>
                    <w:pStyle w:val="75"/>
                    <w:spacing w:before="24" w:after="24"/>
                  </w:pPr>
                  <w: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788" w:type="dxa"/>
                  <w:vAlign w:val="center"/>
                </w:tcPr>
                <w:p>
                  <w:pPr>
                    <w:pStyle w:val="75"/>
                    <w:spacing w:before="24" w:after="24"/>
                  </w:pPr>
                  <w:r>
                    <w:t>SS</w:t>
                  </w:r>
                </w:p>
              </w:tc>
              <w:tc>
                <w:tcPr>
                  <w:tcW w:w="2788" w:type="dxa"/>
                  <w:vAlign w:val="center"/>
                </w:tcPr>
                <w:p>
                  <w:pPr>
                    <w:pStyle w:val="75"/>
                    <w:spacing w:before="24" w:after="24"/>
                  </w:pPr>
                  <w:r>
                    <w:t>120</w:t>
                  </w:r>
                </w:p>
              </w:tc>
              <w:tc>
                <w:tcPr>
                  <w:tcW w:w="2791" w:type="dxa"/>
                  <w:vAlign w:val="center"/>
                </w:tcPr>
                <w:p>
                  <w:pPr>
                    <w:pStyle w:val="75"/>
                    <w:spacing w:before="24" w:after="24"/>
                  </w:pPr>
                  <w:r>
                    <w:t>0.026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788" w:type="dxa"/>
                  <w:vAlign w:val="center"/>
                </w:tcPr>
                <w:p>
                  <w:pPr>
                    <w:pStyle w:val="75"/>
                    <w:spacing w:before="24" w:after="24"/>
                  </w:pPr>
                  <w:r>
                    <w:t>动植物油</w:t>
                  </w:r>
                </w:p>
              </w:tc>
              <w:tc>
                <w:tcPr>
                  <w:tcW w:w="2788" w:type="dxa"/>
                  <w:vAlign w:val="center"/>
                </w:tcPr>
                <w:p>
                  <w:pPr>
                    <w:pStyle w:val="75"/>
                    <w:spacing w:before="24" w:after="24"/>
                  </w:pPr>
                  <w:r>
                    <w:t>30</w:t>
                  </w:r>
                </w:p>
              </w:tc>
              <w:tc>
                <w:tcPr>
                  <w:tcW w:w="2791" w:type="dxa"/>
                  <w:vAlign w:val="center"/>
                </w:tcPr>
                <w:p>
                  <w:pPr>
                    <w:pStyle w:val="75"/>
                    <w:spacing w:before="24" w:after="24"/>
                  </w:pPr>
                  <w:r>
                    <w:t>0.006</w:t>
                  </w:r>
                </w:p>
              </w:tc>
            </w:tr>
          </w:tbl>
          <w:p>
            <w:pPr>
              <w:pStyle w:val="80"/>
            </w:pPr>
            <w:r>
              <w:t>（2）生产用水</w:t>
            </w:r>
          </w:p>
          <w:p>
            <w:pPr>
              <w:pStyle w:val="80"/>
            </w:pPr>
            <w:r>
              <w:t>项目在整条生产线安装喷雾降尘设施，堆场及道路进行洒水降尘措施。根据业主提供数据，生产用水进入产品或损耗蒸发，无生产废水产生。</w:t>
            </w:r>
          </w:p>
          <w:p>
            <w:pPr>
              <w:pStyle w:val="80"/>
            </w:pPr>
            <w:r>
              <w:t>（3）初期雨水</w:t>
            </w:r>
          </w:p>
          <w:p>
            <w:pPr>
              <w:pStyle w:val="80"/>
            </w:pPr>
            <w:r>
              <w:t>降雨产生的初期雨水量按下式计算。</w:t>
            </w:r>
          </w:p>
          <w:p>
            <w:pPr>
              <w:pStyle w:val="80"/>
              <w:jc w:val="center"/>
            </w:pPr>
            <w:r>
              <w:t>Q</w:t>
            </w:r>
            <w:r>
              <w:rPr>
                <w:vertAlign w:val="subscript"/>
              </w:rPr>
              <w:t>m</w:t>
            </w:r>
            <w:r>
              <w:t>=10</w:t>
            </w:r>
            <w:r>
              <w:rPr>
                <w:vertAlign w:val="superscript"/>
              </w:rPr>
              <w:t>-3</w:t>
            </w:r>
            <w:r>
              <w:t>·C·Q·A</w:t>
            </w:r>
          </w:p>
          <w:p>
            <w:pPr>
              <w:pStyle w:val="80"/>
            </w:pPr>
            <w:r>
              <w:t>式中:</w:t>
            </w:r>
          </w:p>
          <w:p>
            <w:pPr>
              <w:pStyle w:val="80"/>
            </w:pPr>
            <w:r>
              <w:t>Q</w:t>
            </w:r>
            <w:r>
              <w:rPr>
                <w:vertAlign w:val="subscript"/>
              </w:rPr>
              <w:t>m</w:t>
            </w:r>
            <w:r>
              <w:t>--降雨产生的路面水量，m</w:t>
            </w:r>
            <w:r>
              <w:rPr>
                <w:vertAlign w:val="superscript"/>
              </w:rPr>
              <w:t>3</w:t>
            </w:r>
            <w:r>
              <w:t>；</w:t>
            </w:r>
          </w:p>
          <w:p>
            <w:pPr>
              <w:pStyle w:val="80"/>
            </w:pPr>
            <w:r>
              <w:t>C--集水区径流系数，本次环评取0.8；</w:t>
            </w:r>
          </w:p>
          <w:p>
            <w:pPr>
              <w:pStyle w:val="80"/>
            </w:pPr>
            <w:r>
              <w:t>Q--集水区多年平均降雨量，mm；</w:t>
            </w:r>
          </w:p>
          <w:p>
            <w:pPr>
              <w:pStyle w:val="80"/>
            </w:pPr>
            <w:r>
              <w:t>A--集水区地表面积，m</w:t>
            </w:r>
            <w:r>
              <w:rPr>
                <w:vertAlign w:val="superscript"/>
              </w:rPr>
              <w:t>2</w:t>
            </w:r>
            <w:r>
              <w:t>，本项目取30000m</w:t>
            </w:r>
            <w:r>
              <w:rPr>
                <w:vertAlign w:val="superscript"/>
              </w:rPr>
              <w:t>2</w:t>
            </w:r>
            <w:r>
              <w:t>。</w:t>
            </w:r>
          </w:p>
          <w:p>
            <w:pPr>
              <w:spacing w:line="360" w:lineRule="auto"/>
              <w:ind w:firstLine="480" w:firstLineChars="200"/>
              <w:rPr>
                <w:kern w:val="0"/>
                <w:sz w:val="24"/>
                <w:lang w:val="zh-CN"/>
              </w:rPr>
            </w:pPr>
            <w:r>
              <w:rPr>
                <w:kern w:val="0"/>
                <w:sz w:val="24"/>
                <w:lang w:val="zh-CN"/>
              </w:rPr>
              <w:t>据文献资料可知，云龙县最大小时降雨量3.05mm，地面综合径流系数取0.8，经计算，因此，项目区最大时雨水为73.2m</w:t>
            </w:r>
            <w:r>
              <w:rPr>
                <w:kern w:val="0"/>
                <w:sz w:val="24"/>
                <w:vertAlign w:val="superscript"/>
                <w:lang w:val="zh-CN"/>
              </w:rPr>
              <w:t>3</w:t>
            </w:r>
            <w:r>
              <w:rPr>
                <w:kern w:val="0"/>
                <w:sz w:val="24"/>
                <w:lang w:val="zh-CN"/>
              </w:rPr>
              <w:t>/h，拟经初期雨水收集池（100m</w:t>
            </w:r>
            <w:r>
              <w:rPr>
                <w:kern w:val="0"/>
                <w:sz w:val="24"/>
                <w:vertAlign w:val="superscript"/>
                <w:lang w:val="zh-CN"/>
              </w:rPr>
              <w:t>3</w:t>
            </w:r>
            <w:r>
              <w:rPr>
                <w:kern w:val="0"/>
                <w:sz w:val="24"/>
                <w:lang w:val="zh-CN"/>
              </w:rPr>
              <w:t>）沉淀后用于厂区降尘。</w:t>
            </w:r>
          </w:p>
          <w:p>
            <w:pPr>
              <w:spacing w:line="360" w:lineRule="auto"/>
              <w:ind w:firstLine="480" w:firstLineChars="200"/>
              <w:rPr>
                <w:bCs/>
                <w:sz w:val="24"/>
              </w:rPr>
            </w:pPr>
            <w:r>
              <w:rPr>
                <w:bCs/>
                <w:sz w:val="24"/>
              </w:rPr>
              <w:t>二、废水处理可行性分析</w:t>
            </w:r>
          </w:p>
          <w:p>
            <w:pPr>
              <w:spacing w:line="360" w:lineRule="auto"/>
              <w:ind w:firstLine="480" w:firstLineChars="200"/>
              <w:rPr>
                <w:kern w:val="0"/>
                <w:sz w:val="24"/>
                <w:lang w:val="zh-CN"/>
              </w:rPr>
            </w:pPr>
            <w:r>
              <w:rPr>
                <w:kern w:val="0"/>
                <w:sz w:val="24"/>
                <w:lang w:val="zh-CN"/>
              </w:rPr>
              <w:t>本项目为石材加工项目，项目</w:t>
            </w:r>
            <w:r>
              <w:rPr>
                <w:rFonts w:hint="eastAsia"/>
                <w:kern w:val="0"/>
                <w:sz w:val="24"/>
                <w:lang w:val="zh-CN"/>
              </w:rPr>
              <w:t>属于</w:t>
            </w:r>
            <w:r>
              <w:rPr>
                <w:rFonts w:hint="eastAsia"/>
                <w:kern w:val="0"/>
                <w:sz w:val="24"/>
              </w:rPr>
              <w:t xml:space="preserve">《排污许可证申请与核发技术规范 </w:t>
            </w:r>
            <w:r>
              <w:rPr>
                <w:kern w:val="0"/>
                <w:sz w:val="24"/>
              </w:rPr>
              <w:t xml:space="preserve"> </w:t>
            </w:r>
            <w:r>
              <w:rPr>
                <w:rFonts w:hint="eastAsia"/>
                <w:kern w:val="0"/>
                <w:sz w:val="24"/>
              </w:rPr>
              <w:t>陶瓷砖瓦行业》</w:t>
            </w:r>
            <w:r>
              <w:rPr>
                <w:kern w:val="0"/>
                <w:sz w:val="24"/>
                <w:lang w:val="zh-CN"/>
              </w:rPr>
              <w:t>。本项目厨房废水经隔油池处理后与其它生活废水一并排入化粪池，废水经化粪池收集处理后用作绿化及林地施肥，不外排。初期雨水经初期雨水收集池（容积为100m</w:t>
            </w:r>
            <w:r>
              <w:rPr>
                <w:kern w:val="0"/>
                <w:sz w:val="24"/>
                <w:vertAlign w:val="superscript"/>
                <w:lang w:val="zh-CN"/>
              </w:rPr>
              <w:t>3</w:t>
            </w:r>
            <w:r>
              <w:rPr>
                <w:kern w:val="0"/>
                <w:sz w:val="24"/>
                <w:lang w:val="zh-CN"/>
              </w:rPr>
              <w:t>）沉淀后用于厂区降尘。</w:t>
            </w:r>
          </w:p>
          <w:p>
            <w:pPr>
              <w:pStyle w:val="80"/>
            </w:pPr>
            <w:r>
              <w:t>1、生活污水处理措施可行性分析</w:t>
            </w:r>
          </w:p>
          <w:p>
            <w:pPr>
              <w:pStyle w:val="80"/>
              <w:ind w:firstLine="482"/>
            </w:pPr>
            <w:r>
              <w:rPr>
                <w:b/>
              </w:rPr>
              <w:t>化粪池可行性分析：</w:t>
            </w:r>
            <w:r>
              <w:t>本项目进入化粪池的污水量为0.72m</w:t>
            </w:r>
            <w:r>
              <w:rPr>
                <w:vertAlign w:val="superscript"/>
              </w:rPr>
              <w:t>3</w:t>
            </w:r>
            <w:r>
              <w:t>/d，项目化粪池有效容积为15m</w:t>
            </w:r>
            <w:r>
              <w:rPr>
                <w:vertAlign w:val="superscript"/>
              </w:rPr>
              <w:t>3</w:t>
            </w:r>
            <w:r>
              <w:t>，化粪池能暂存项目20天的生活污水量，既能满足污水的处理效果，又能满足污水长时间暂存要求。</w:t>
            </w:r>
          </w:p>
          <w:p>
            <w:pPr>
              <w:pStyle w:val="80"/>
              <w:ind w:firstLine="482"/>
            </w:pPr>
            <w:r>
              <w:rPr>
                <w:b/>
              </w:rPr>
              <w:t>厨房隔油池可行性分析：</w:t>
            </w:r>
            <w:r>
              <w:t>由上述分析可知，本项目厨房废水产生量为0.32m</w:t>
            </w:r>
            <w:r>
              <w:rPr>
                <w:vertAlign w:val="superscript"/>
              </w:rPr>
              <w:t>3</w:t>
            </w:r>
            <w:r>
              <w:t>/d，项目区设置1m</w:t>
            </w:r>
            <w:r>
              <w:rPr>
                <w:vertAlign w:val="superscript"/>
              </w:rPr>
              <w:t>3</w:t>
            </w:r>
            <w:r>
              <w:t>隔油池一个，其容积远大于厨房废水日最大产生量，能满足日常餐厨废水处理要求。</w:t>
            </w:r>
          </w:p>
          <w:p>
            <w:pPr>
              <w:spacing w:line="360" w:lineRule="auto"/>
              <w:ind w:firstLine="480" w:firstLineChars="200"/>
              <w:rPr>
                <w:kern w:val="0"/>
                <w:sz w:val="24"/>
                <w:lang w:val="zh-CN"/>
              </w:rPr>
            </w:pPr>
            <w:r>
              <w:rPr>
                <w:kern w:val="0"/>
                <w:sz w:val="24"/>
                <w:lang w:val="zh-CN"/>
              </w:rPr>
              <w:t>化粪池的基本原理：化粪池指的是将生活污水分格沉淀，及对污泥进行厌氧消化的小型处理构筑物。化粪池属最初级污水处理阶段，可去除50％的悬浮杂质（粪便、较大病原虫等），并使积泥在厌氧条件下分解为稳定状态。其沉淀原理类似于平流式原料仓、危废间，分为酸性发酵和碱性发酵两个阶段。第一阶段为酸性发酵阶段，产生H</w:t>
            </w:r>
            <w:r>
              <w:rPr>
                <w:kern w:val="0"/>
                <w:sz w:val="24"/>
                <w:vertAlign w:val="subscript"/>
                <w:lang w:val="zh-CN"/>
              </w:rPr>
              <w:t>2</w:t>
            </w:r>
            <w:r>
              <w:rPr>
                <w:kern w:val="0"/>
                <w:sz w:val="24"/>
                <w:lang w:val="zh-CN"/>
              </w:rPr>
              <w:t>S、硫醇、吲哚、粪臭素等有害气体和腐臭味，粪便污水pH为5.0～6.0。悬浮杂质吸附气泡浮于水面后，又因气体释放而沉入池底，循环的沉浮运动使悬浮杂质块逐渐变小，粪块中的寄生虫卵也随之剥离沉入池底。第二阶段是碱性发酵阶段，第一阶段产生的氨基酸在甲烷基作用下分解为CO</w:t>
            </w:r>
            <w:r>
              <w:rPr>
                <w:kern w:val="0"/>
                <w:sz w:val="24"/>
                <w:vertAlign w:val="subscript"/>
                <w:lang w:val="zh-CN"/>
              </w:rPr>
              <w:t>2</w:t>
            </w:r>
            <w:r>
              <w:rPr>
                <w:kern w:val="0"/>
                <w:sz w:val="24"/>
                <w:lang w:val="zh-CN"/>
              </w:rPr>
              <w:t>、CH</w:t>
            </w:r>
            <w:r>
              <w:rPr>
                <w:kern w:val="0"/>
                <w:sz w:val="24"/>
                <w:vertAlign w:val="subscript"/>
                <w:lang w:val="zh-CN"/>
              </w:rPr>
              <w:t>4</w:t>
            </w:r>
            <w:r>
              <w:rPr>
                <w:kern w:val="0"/>
                <w:sz w:val="24"/>
                <w:lang w:val="zh-CN"/>
              </w:rPr>
              <w:t>、氨，池内粪液pH为7.5左右。生活污水经化粪池处理后用于农肥，处理措施可行。</w:t>
            </w:r>
          </w:p>
          <w:p>
            <w:pPr>
              <w:spacing w:line="360" w:lineRule="auto"/>
              <w:ind w:firstLine="480" w:firstLineChars="200"/>
              <w:rPr>
                <w:kern w:val="0"/>
                <w:sz w:val="24"/>
                <w:lang w:val="zh-CN"/>
              </w:rPr>
            </w:pPr>
            <w:r>
              <w:rPr>
                <w:kern w:val="0"/>
                <w:sz w:val="24"/>
                <w:lang w:val="zh-CN"/>
              </w:rPr>
              <w:t>2、初期雨水处理措施可行性分析</w:t>
            </w:r>
          </w:p>
          <w:p>
            <w:pPr>
              <w:spacing w:line="360" w:lineRule="auto"/>
              <w:ind w:firstLine="480" w:firstLineChars="200"/>
              <w:rPr>
                <w:sz w:val="24"/>
                <w:lang w:val="zh-CN"/>
              </w:rPr>
            </w:pPr>
            <w:r>
              <w:rPr>
                <w:sz w:val="24"/>
                <w:lang w:val="zh-CN"/>
              </w:rPr>
              <w:t>本项目初期雨水经100m</w:t>
            </w:r>
            <w:r>
              <w:rPr>
                <w:sz w:val="24"/>
                <w:vertAlign w:val="superscript"/>
                <w:lang w:val="zh-CN"/>
              </w:rPr>
              <w:t>3</w:t>
            </w:r>
            <w:r>
              <w:rPr>
                <w:sz w:val="24"/>
                <w:lang w:val="zh-CN"/>
              </w:rPr>
              <w:t>初期雨水收集池沉淀处理后回用于生产或喷雾降尘，本项目生产过程工艺对水质无较高要求，因此初期雨水经初期雨水收集池沉淀处理后用于生产工序，可以满足生产要求。</w:t>
            </w:r>
          </w:p>
          <w:p>
            <w:pPr>
              <w:spacing w:line="360" w:lineRule="auto"/>
              <w:ind w:firstLine="480" w:firstLineChars="200"/>
              <w:rPr>
                <w:bCs/>
                <w:sz w:val="24"/>
              </w:rPr>
            </w:pPr>
            <w:r>
              <w:rPr>
                <w:bCs/>
                <w:sz w:val="24"/>
              </w:rPr>
              <w:t>三、废水污染物排放信息统计</w:t>
            </w:r>
          </w:p>
          <w:p>
            <w:pPr>
              <w:ind w:firstLine="422"/>
              <w:jc w:val="center"/>
              <w:rPr>
                <w:b/>
                <w:szCs w:val="21"/>
              </w:rPr>
            </w:pPr>
            <w:r>
              <w:rPr>
                <w:b/>
                <w:szCs w:val="21"/>
              </w:rPr>
              <w:t>表4-2    废水污染物信息表</w:t>
            </w:r>
          </w:p>
          <w:tbl>
            <w:tblPr>
              <w:tblStyle w:val="25"/>
              <w:tblW w:w="83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766"/>
              <w:gridCol w:w="618"/>
              <w:gridCol w:w="999"/>
              <w:gridCol w:w="870"/>
              <w:gridCol w:w="1104"/>
              <w:gridCol w:w="914"/>
              <w:gridCol w:w="1242"/>
              <w:gridCol w:w="766"/>
              <w:gridCol w:w="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4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序号</w:t>
                  </w:r>
                </w:p>
              </w:tc>
              <w:tc>
                <w:tcPr>
                  <w:tcW w:w="7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产污环节名称</w:t>
                  </w:r>
                </w:p>
              </w:tc>
              <w:tc>
                <w:tcPr>
                  <w:tcW w:w="6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类别</w:t>
                  </w:r>
                </w:p>
              </w:tc>
              <w:tc>
                <w:tcPr>
                  <w:tcW w:w="99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污染物种类</w:t>
                  </w:r>
                </w:p>
              </w:tc>
              <w:tc>
                <w:tcPr>
                  <w:tcW w:w="19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污染物</w:t>
                  </w:r>
                </w:p>
              </w:tc>
              <w:tc>
                <w:tcPr>
                  <w:tcW w:w="9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污染治理设施名称</w:t>
                  </w:r>
                </w:p>
              </w:tc>
              <w:tc>
                <w:tcPr>
                  <w:tcW w:w="12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污染物排放浓度（速率）</w:t>
                  </w:r>
                </w:p>
              </w:tc>
              <w:tc>
                <w:tcPr>
                  <w:tcW w:w="7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污染物排放量</w:t>
                  </w:r>
                </w:p>
              </w:tc>
              <w:tc>
                <w:tcPr>
                  <w:tcW w:w="6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4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sz w:val="18"/>
                      <w:szCs w:val="18"/>
                    </w:rPr>
                  </w:pPr>
                </w:p>
              </w:tc>
              <w:tc>
                <w:tcPr>
                  <w:tcW w:w="7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sz w:val="18"/>
                      <w:szCs w:val="18"/>
                    </w:rPr>
                  </w:pPr>
                </w:p>
              </w:tc>
              <w:tc>
                <w:tcPr>
                  <w:tcW w:w="6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sz w:val="18"/>
                      <w:szCs w:val="18"/>
                    </w:rPr>
                  </w:pP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sz w:val="18"/>
                      <w:szCs w:val="18"/>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产生量</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浓度</w:t>
                  </w:r>
                </w:p>
              </w:tc>
              <w:tc>
                <w:tcPr>
                  <w:tcW w:w="9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sz w:val="18"/>
                      <w:szCs w:val="18"/>
                    </w:rPr>
                  </w:pPr>
                </w:p>
              </w:tc>
              <w:tc>
                <w:tcPr>
                  <w:tcW w:w="12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sz w:val="18"/>
                      <w:szCs w:val="18"/>
                    </w:rPr>
                  </w:pPr>
                </w:p>
              </w:tc>
              <w:tc>
                <w:tcPr>
                  <w:tcW w:w="7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sz w:val="18"/>
                      <w:szCs w:val="18"/>
                    </w:rPr>
                  </w:pPr>
                </w:p>
              </w:tc>
              <w:tc>
                <w:tcPr>
                  <w:tcW w:w="6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1</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办公生活</w:t>
                  </w:r>
                </w:p>
              </w:tc>
              <w:tc>
                <w:tcPr>
                  <w:tcW w:w="6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生活污水</w:t>
                  </w:r>
                </w:p>
              </w:tc>
              <w:tc>
                <w:tcPr>
                  <w:tcW w:w="99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COD、氨氮等</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216m</w:t>
                  </w:r>
                  <w:r>
                    <w:rPr>
                      <w:sz w:val="18"/>
                      <w:szCs w:val="18"/>
                      <w:vertAlign w:val="superscript"/>
                    </w:rPr>
                    <w:t>3</w:t>
                  </w:r>
                  <w:r>
                    <w:rPr>
                      <w:sz w:val="18"/>
                      <w:szCs w:val="18"/>
                    </w:rPr>
                    <w:t>/a</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COD 400mg/L</w:t>
                  </w:r>
                </w:p>
                <w:p>
                  <w:pPr>
                    <w:jc w:val="center"/>
                    <w:rPr>
                      <w:sz w:val="18"/>
                      <w:szCs w:val="18"/>
                    </w:rPr>
                  </w:pPr>
                  <w:r>
                    <w:rPr>
                      <w:sz w:val="18"/>
                      <w:szCs w:val="18"/>
                    </w:rPr>
                    <w:t>氨氮 30mg/L</w:t>
                  </w: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隔油池+化粪池</w:t>
                  </w:r>
                </w:p>
              </w:tc>
              <w:tc>
                <w:tcPr>
                  <w:tcW w:w="20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用做绿化、林地施肥</w:t>
                  </w:r>
                </w:p>
              </w:tc>
              <w:tc>
                <w:tcPr>
                  <w:tcW w:w="6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2</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生产</w:t>
                  </w:r>
                </w:p>
              </w:tc>
              <w:tc>
                <w:tcPr>
                  <w:tcW w:w="6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初期雨水</w:t>
                  </w:r>
                </w:p>
              </w:tc>
              <w:tc>
                <w:tcPr>
                  <w:tcW w:w="99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SS</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73.2m</w:t>
                  </w:r>
                  <w:r>
                    <w:rPr>
                      <w:sz w:val="18"/>
                      <w:szCs w:val="18"/>
                      <w:vertAlign w:val="superscript"/>
                    </w:rPr>
                    <w:t>3</w:t>
                  </w:r>
                  <w:r>
                    <w:rPr>
                      <w:sz w:val="18"/>
                      <w:szCs w:val="18"/>
                    </w:rPr>
                    <w:t>/d</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SS 1000mg/L</w:t>
                  </w: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初期雨水收集池</w:t>
                  </w:r>
                </w:p>
              </w:tc>
              <w:tc>
                <w:tcPr>
                  <w:tcW w:w="20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回用厂区洒水、喷雾降尘</w:t>
                  </w:r>
                </w:p>
              </w:tc>
              <w:tc>
                <w:tcPr>
                  <w:tcW w:w="6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w:t>
                  </w:r>
                </w:p>
              </w:tc>
            </w:tr>
          </w:tbl>
          <w:p>
            <w:pPr>
              <w:pStyle w:val="71"/>
              <w:rPr>
                <w:rFonts w:cs="Times New Roman"/>
                <w:szCs w:val="20"/>
              </w:rPr>
            </w:pPr>
            <w:r>
              <w:rPr>
                <w:rFonts w:cs="Times New Roman"/>
              </w:rPr>
              <w:t>表4-3    水污染治理设施信息表</w:t>
            </w:r>
          </w:p>
          <w:tbl>
            <w:tblPr>
              <w:tblStyle w:val="25"/>
              <w:tblW w:w="83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1760"/>
              <w:gridCol w:w="2410"/>
              <w:gridCol w:w="992"/>
              <w:gridCol w:w="1045"/>
              <w:gridCol w:w="1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pPr>
                  <w:r>
                    <w:t>序号</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pPr>
                  <w:r>
                    <w:t>污染治理设施名称</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pPr>
                  <w:r>
                    <w:t>治理工艺</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pPr>
                  <w:r>
                    <w:t>处理能力</w:t>
                  </w:r>
                </w:p>
              </w:tc>
              <w:tc>
                <w:tcPr>
                  <w:tcW w:w="10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pPr>
                  <w:r>
                    <w:t>治理除率</w:t>
                  </w:r>
                </w:p>
              </w:tc>
              <w:tc>
                <w:tcPr>
                  <w:tcW w:w="156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pPr>
                  <w:r>
                    <w:t>是否为可行技术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pPr>
                  <w:r>
                    <w:t>1</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化粪池</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rPr>
                      <w:szCs w:val="22"/>
                    </w:rPr>
                  </w:pPr>
                  <w:r>
                    <w:rPr>
                      <w:szCs w:val="22"/>
                    </w:rPr>
                    <w:t>隔油+厌氧</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pPr>
                  <w:r>
                    <w:t>15m</w:t>
                  </w:r>
                  <w:r>
                    <w:rPr>
                      <w:vertAlign w:val="superscript"/>
                    </w:rPr>
                    <w:t>3</w:t>
                  </w:r>
                  <w:r>
                    <w:t>/d</w:t>
                  </w:r>
                </w:p>
              </w:tc>
              <w:tc>
                <w:tcPr>
                  <w:tcW w:w="10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pPr>
                  <w:r>
                    <w:t>COD50%</w:t>
                  </w:r>
                </w:p>
                <w:p>
                  <w:pPr>
                    <w:pStyle w:val="75"/>
                    <w:spacing w:before="24" w:after="24"/>
                  </w:pPr>
                  <w:r>
                    <w:t>氨氮50%</w:t>
                  </w:r>
                </w:p>
              </w:tc>
              <w:tc>
                <w:tcPr>
                  <w:tcW w:w="156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pPr>
                  <w: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pPr>
                  <w: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初期雨水收集池</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rPr>
                      <w:szCs w:val="22"/>
                    </w:rPr>
                  </w:pPr>
                  <w:r>
                    <w:rPr>
                      <w:szCs w:val="22"/>
                    </w:rPr>
                    <w:t>沉淀</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pPr>
                  <w:r>
                    <w:t>100m</w:t>
                  </w:r>
                  <w:r>
                    <w:rPr>
                      <w:vertAlign w:val="superscript"/>
                    </w:rPr>
                    <w:t>3</w:t>
                  </w:r>
                  <w:r>
                    <w:t>/d</w:t>
                  </w:r>
                </w:p>
              </w:tc>
              <w:tc>
                <w:tcPr>
                  <w:tcW w:w="10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pPr>
                  <w:r>
                    <w:t>SS 50%</w:t>
                  </w:r>
                </w:p>
              </w:tc>
              <w:tc>
                <w:tcPr>
                  <w:tcW w:w="156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pPr>
                  <w:r>
                    <w:t>否</w:t>
                  </w:r>
                </w:p>
              </w:tc>
            </w:tr>
          </w:tbl>
          <w:p>
            <w:pPr>
              <w:pStyle w:val="71"/>
              <w:rPr>
                <w:rFonts w:cs="Times New Roman"/>
              </w:rPr>
            </w:pPr>
            <w:r>
              <w:rPr>
                <w:rFonts w:cs="Times New Roman"/>
              </w:rPr>
              <w:t>表4-4    水排放口基本情况表</w:t>
            </w:r>
          </w:p>
          <w:tbl>
            <w:tblPr>
              <w:tblStyle w:val="25"/>
              <w:tblW w:w="8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4"/>
              <w:gridCol w:w="1073"/>
              <w:gridCol w:w="850"/>
              <w:gridCol w:w="744"/>
              <w:gridCol w:w="661"/>
              <w:gridCol w:w="661"/>
              <w:gridCol w:w="744"/>
              <w:gridCol w:w="744"/>
              <w:gridCol w:w="744"/>
              <w:gridCol w:w="1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4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pPr>
                  <w:r>
                    <w:t>序号</w:t>
                  </w:r>
                </w:p>
              </w:tc>
              <w:tc>
                <w:tcPr>
                  <w:tcW w:w="10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pPr>
                  <w:r>
                    <w:t>排放口编号</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pPr>
                  <w:r>
                    <w:t>排放口名称</w:t>
                  </w:r>
                </w:p>
              </w:tc>
              <w:tc>
                <w:tcPr>
                  <w:tcW w:w="74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pPr>
                  <w:r>
                    <w:t>排口类型</w:t>
                  </w:r>
                </w:p>
              </w:tc>
              <w:tc>
                <w:tcPr>
                  <w:tcW w:w="13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pPr>
                  <w:r>
                    <w:t>排放口基础坐标</w:t>
                  </w:r>
                </w:p>
              </w:tc>
              <w:tc>
                <w:tcPr>
                  <w:tcW w:w="74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pPr>
                  <w:r>
                    <w:t>排放方式</w:t>
                  </w:r>
                </w:p>
              </w:tc>
              <w:tc>
                <w:tcPr>
                  <w:tcW w:w="74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pPr>
                  <w:r>
                    <w:t>排放去向</w:t>
                  </w:r>
                </w:p>
              </w:tc>
              <w:tc>
                <w:tcPr>
                  <w:tcW w:w="74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pPr>
                  <w:r>
                    <w:t>排放规律</w:t>
                  </w:r>
                </w:p>
              </w:tc>
              <w:tc>
                <w:tcPr>
                  <w:tcW w:w="15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pPr>
                  <w:r>
                    <w:t>受纳污水处理厂/水体名称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4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szCs w:val="22"/>
                    </w:rPr>
                  </w:pPr>
                </w:p>
              </w:tc>
              <w:tc>
                <w:tcPr>
                  <w:tcW w:w="10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szCs w:val="22"/>
                    </w:rPr>
                  </w:pPr>
                </w:p>
              </w:tc>
              <w:tc>
                <w:tcPr>
                  <w:tcW w:w="8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szCs w:val="22"/>
                    </w:rPr>
                  </w:pPr>
                </w:p>
              </w:tc>
              <w:tc>
                <w:tcPr>
                  <w:tcW w:w="74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szCs w:val="22"/>
                    </w:rPr>
                  </w:pP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pPr>
                  <w:r>
                    <w:t>经度</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pPr>
                  <w:r>
                    <w:t>纬度</w:t>
                  </w:r>
                </w:p>
              </w:tc>
              <w:tc>
                <w:tcPr>
                  <w:tcW w:w="74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szCs w:val="22"/>
                    </w:rPr>
                  </w:pPr>
                </w:p>
              </w:tc>
              <w:tc>
                <w:tcPr>
                  <w:tcW w:w="74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szCs w:val="22"/>
                    </w:rPr>
                  </w:pPr>
                </w:p>
              </w:tc>
              <w:tc>
                <w:tcPr>
                  <w:tcW w:w="74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szCs w:val="22"/>
                    </w:rPr>
                  </w:pPr>
                </w:p>
              </w:tc>
              <w:tc>
                <w:tcPr>
                  <w:tcW w:w="15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pPr>
                  <w:r>
                    <w:t>1</w:t>
                  </w:r>
                </w:p>
              </w:tc>
              <w:tc>
                <w:tcPr>
                  <w:tcW w:w="7739"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rPr>
                      <w:sz w:val="20"/>
                    </w:rPr>
                  </w:pPr>
                  <w:r>
                    <w:rPr>
                      <w:sz w:val="20"/>
                    </w:rPr>
                    <w:t>企业无废水外排，不设废水排放口。</w:t>
                  </w:r>
                </w:p>
              </w:tc>
            </w:tr>
          </w:tbl>
          <w:p>
            <w:pPr>
              <w:pStyle w:val="71"/>
              <w:rPr>
                <w:rFonts w:cs="Times New Roman"/>
              </w:rPr>
            </w:pPr>
            <w:r>
              <w:rPr>
                <w:rFonts w:cs="Times New Roman"/>
              </w:rPr>
              <w:t>表4-5    自行监测信息表</w:t>
            </w:r>
          </w:p>
          <w:tbl>
            <w:tblPr>
              <w:tblStyle w:val="25"/>
              <w:tblW w:w="83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0"/>
              <w:gridCol w:w="1725"/>
              <w:gridCol w:w="2575"/>
              <w:gridCol w:w="1816"/>
              <w:gridCol w:w="755"/>
              <w:gridCol w:w="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1"/>
                    <w:rPr>
                      <w:rFonts w:cs="Times New Roman"/>
                      <w:b w:val="0"/>
                    </w:rPr>
                  </w:pPr>
                  <w:r>
                    <w:rPr>
                      <w:rFonts w:cs="Times New Roman"/>
                      <w:b w:val="0"/>
                    </w:rPr>
                    <w:t>序号</w:t>
                  </w:r>
                </w:p>
              </w:tc>
              <w:tc>
                <w:tcPr>
                  <w:tcW w:w="172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1"/>
                    <w:rPr>
                      <w:rFonts w:cs="Times New Roman"/>
                      <w:b w:val="0"/>
                    </w:rPr>
                  </w:pPr>
                  <w:r>
                    <w:rPr>
                      <w:rFonts w:cs="Times New Roman"/>
                      <w:b w:val="0"/>
                    </w:rPr>
                    <w:t>排放口（监测点位）编号</w:t>
                  </w:r>
                </w:p>
              </w:tc>
              <w:tc>
                <w:tcPr>
                  <w:tcW w:w="25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1"/>
                    <w:rPr>
                      <w:rFonts w:cs="Times New Roman"/>
                      <w:b w:val="0"/>
                    </w:rPr>
                  </w:pPr>
                  <w:r>
                    <w:rPr>
                      <w:rFonts w:cs="Times New Roman"/>
                      <w:b w:val="0"/>
                    </w:rPr>
                    <w:t>排放口（监测点位）名称</w:t>
                  </w:r>
                </w:p>
              </w:tc>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1"/>
                    <w:rPr>
                      <w:rFonts w:cs="Times New Roman"/>
                      <w:b w:val="0"/>
                    </w:rPr>
                  </w:pPr>
                  <w:r>
                    <w:rPr>
                      <w:rFonts w:cs="Times New Roman"/>
                      <w:b w:val="0"/>
                    </w:rPr>
                    <w:t>污染物名称（监测因子）</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1"/>
                    <w:rPr>
                      <w:rFonts w:cs="Times New Roman"/>
                      <w:b w:val="0"/>
                    </w:rPr>
                  </w:pPr>
                  <w:r>
                    <w:rPr>
                      <w:rFonts w:cs="Times New Roman"/>
                      <w:b w:val="0"/>
                    </w:rPr>
                    <w:t>监测频次</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1"/>
                    <w:rPr>
                      <w:rFonts w:cs="Times New Roman"/>
                      <w:b w:val="0"/>
                    </w:rPr>
                  </w:pPr>
                  <w:r>
                    <w:rPr>
                      <w:rFonts w:cs="Times New Roman"/>
                      <w:b w:val="0"/>
                    </w:rPr>
                    <w:t>是否自动监测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1"/>
                    <w:rPr>
                      <w:rFonts w:cs="Times New Roman"/>
                      <w:b w:val="0"/>
                    </w:rPr>
                  </w:pPr>
                  <w:r>
                    <w:rPr>
                      <w:rFonts w:cs="Times New Roman"/>
                      <w:b w:val="0"/>
                    </w:rPr>
                    <w:t>1</w:t>
                  </w:r>
                </w:p>
              </w:tc>
              <w:tc>
                <w:tcPr>
                  <w:tcW w:w="784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rPr>
                      <w:sz w:val="20"/>
                    </w:rPr>
                  </w:pPr>
                  <w:r>
                    <w:rPr>
                      <w:sz w:val="20"/>
                    </w:rPr>
                    <w:t>企业无废水外排，无需进行废水监测。</w:t>
                  </w:r>
                </w:p>
              </w:tc>
            </w:tr>
          </w:tbl>
          <w:p>
            <w:pPr>
              <w:spacing w:line="360" w:lineRule="auto"/>
              <w:ind w:firstLine="482" w:firstLineChars="200"/>
              <w:rPr>
                <w:b/>
                <w:bCs/>
                <w:kern w:val="0"/>
                <w:sz w:val="24"/>
              </w:rPr>
            </w:pPr>
            <w:r>
              <w:rPr>
                <w:b/>
                <w:bCs/>
                <w:kern w:val="0"/>
                <w:sz w:val="24"/>
              </w:rPr>
              <w:t>4.2.2、大气环境影响分析</w:t>
            </w:r>
          </w:p>
          <w:p>
            <w:pPr>
              <w:pStyle w:val="24"/>
              <w:adjustRightInd w:val="0"/>
              <w:snapToGrid w:val="0"/>
              <w:spacing w:after="0" w:line="360" w:lineRule="auto"/>
              <w:ind w:left="0" w:leftChars="0" w:firstLine="480"/>
            </w:pPr>
            <w:r>
              <w:t>一、废气产排情况计算</w:t>
            </w:r>
          </w:p>
          <w:p>
            <w:pPr>
              <w:pStyle w:val="80"/>
            </w:pPr>
            <w:r>
              <w:t>本项目营运期，废气主要为破碎及筛分粉尘、装卸粉尘、堆场扬尘和汽车尾气。</w:t>
            </w:r>
          </w:p>
          <w:p>
            <w:pPr>
              <w:pStyle w:val="80"/>
            </w:pPr>
            <w:r>
              <w:t>（1）破碎、筛分产生的粉尘</w:t>
            </w:r>
          </w:p>
          <w:p>
            <w:pPr>
              <w:pStyle w:val="80"/>
            </w:pPr>
            <w:r>
              <w:t>项目使用1台破碎机、1台打砂机（细碎工序）、1台振动筛、3条皮带运输线进行破碎及筛分加工，在加工过程中会产生大量的粉尘，因此生产过程中均伴随喷雾降尘、湿式加工，且加工工序位于密闭车间内。</w:t>
            </w:r>
          </w:p>
          <w:p>
            <w:pPr>
              <w:pStyle w:val="80"/>
            </w:pPr>
            <w:r>
              <w:t>根据《采石场大气污染物源强分析研究》等经验数据及类比资料，在晴天，空气及矿石干燥的情况下，破碎作业产生的粉尘产生量约为0.02kg/t产品。本项目年产砂石料10万t/a，因此项目破碎石量约为10万t/a，则粉尘产生量约为2t/a。项目筛分和打砂（细碎）粉尘产生量约为0.04kg/t产品，则筛分和打砂粉尘产生量约为4t/a。则项目石料加工区粉尘产生量为6t/a。本项目砂石原料破碎工段设置喷雾装置，采取湿法破碎工艺进行破碎，打砂过程采用喷雾降尘作业的措施，除尘效率达90%，因此项目加工区粉尘排放量为0.6t/a。</w:t>
            </w:r>
          </w:p>
          <w:p>
            <w:pPr>
              <w:pStyle w:val="80"/>
            </w:pPr>
            <w:r>
              <w:t>（2）装卸粉尘</w:t>
            </w:r>
          </w:p>
          <w:p>
            <w:pPr>
              <w:pStyle w:val="80"/>
            </w:pPr>
            <w:r>
              <w:t>成品装车、原料卸车过程中会产生少量粉尘，本次环评选用秦皇岛码头装卸起尘量计算公式进行计算。计算公式如下：</w:t>
            </w:r>
          </w:p>
          <w:p>
            <w:pPr>
              <w:pStyle w:val="80"/>
              <w:ind w:firstLine="0" w:firstLineChars="0"/>
              <w:jc w:val="center"/>
            </w:pPr>
            <w:r>
              <w:t>Q=1133.33*U</w:t>
            </w:r>
            <w:r>
              <w:rPr>
                <w:vertAlign w:val="superscript"/>
              </w:rPr>
              <w:t>1.6</w:t>
            </w:r>
            <w:r>
              <w:t>*H</w:t>
            </w:r>
            <w:r>
              <w:rPr>
                <w:vertAlign w:val="superscript"/>
              </w:rPr>
              <w:t>1.23</w:t>
            </w:r>
            <w:r>
              <w:t>*e</w:t>
            </w:r>
            <w:r>
              <w:rPr>
                <w:vertAlign w:val="superscript"/>
              </w:rPr>
              <w:t>-0.28W</w:t>
            </w:r>
          </w:p>
          <w:p>
            <w:pPr>
              <w:pStyle w:val="80"/>
            </w:pPr>
            <w:r>
              <w:t>式中:</w:t>
            </w:r>
          </w:p>
          <w:p>
            <w:pPr>
              <w:spacing w:line="360" w:lineRule="auto"/>
              <w:ind w:firstLine="480" w:firstLineChars="200"/>
              <w:rPr>
                <w:sz w:val="24"/>
              </w:rPr>
            </w:pPr>
            <w:r>
              <w:rPr>
                <w:sz w:val="24"/>
              </w:rPr>
              <w:t>式中：Q--装卸起尘量，kg/s；</w:t>
            </w:r>
          </w:p>
          <w:p>
            <w:pPr>
              <w:spacing w:line="360" w:lineRule="auto"/>
              <w:ind w:firstLine="480" w:firstLineChars="200"/>
              <w:rPr>
                <w:sz w:val="24"/>
              </w:rPr>
            </w:pPr>
            <w:r>
              <w:rPr>
                <w:sz w:val="24"/>
              </w:rPr>
              <w:t xml:space="preserve">      V—平均风速，m/s，取当地平均风速1.9m/s；</w:t>
            </w:r>
          </w:p>
          <w:p>
            <w:pPr>
              <w:spacing w:line="360" w:lineRule="auto"/>
              <w:ind w:firstLine="480" w:firstLineChars="200"/>
              <w:rPr>
                <w:sz w:val="24"/>
              </w:rPr>
            </w:pPr>
            <w:r>
              <w:rPr>
                <w:sz w:val="24"/>
              </w:rPr>
              <w:t xml:space="preserve">      H—物料装卸平均高度，m，取0.5m；</w:t>
            </w:r>
          </w:p>
          <w:p>
            <w:pPr>
              <w:spacing w:line="360" w:lineRule="auto"/>
              <w:ind w:firstLine="1200" w:firstLineChars="500"/>
              <w:rPr>
                <w:sz w:val="24"/>
              </w:rPr>
            </w:pPr>
            <w:r>
              <w:rPr>
                <w:sz w:val="24"/>
              </w:rPr>
              <w:t>W—物料含水率，%；</w:t>
            </w:r>
          </w:p>
          <w:p>
            <w:pPr>
              <w:spacing w:line="360" w:lineRule="auto"/>
              <w:ind w:firstLine="1200" w:firstLineChars="500"/>
              <w:rPr>
                <w:sz w:val="24"/>
              </w:rPr>
            </w:pPr>
            <w:r>
              <w:rPr>
                <w:sz w:val="24"/>
              </w:rPr>
              <w:t>t---物料装车速率，s/t。</w:t>
            </w:r>
          </w:p>
          <w:p>
            <w:pPr>
              <w:spacing w:line="360" w:lineRule="auto"/>
              <w:ind w:firstLine="480" w:firstLineChars="200"/>
              <w:rPr>
                <w:sz w:val="24"/>
              </w:rPr>
            </w:pPr>
            <w:r>
              <w:rPr>
                <w:sz w:val="24"/>
              </w:rPr>
              <w:t>由上式可见，装卸粉尘产生量跟石料含水率有关，当含水率为1%时，项目原料堆场起尘速率为1345.49mg/s，即4.84kg/h，按每天1h的装卸时间计算，项目砂堆装卸时起尘量为1.45t/a。当含水率为6%时，项目原料堆场起尘速率为1326.78mg/s，即4.78kg/h，按每天1h的装卸时间计算，项目砂堆装卸时起尘量为1.434t/a。根据《散料装卸机械的喷水除尘装置》文献，当含水率为6%时，粉尘可被抑制。</w:t>
            </w:r>
          </w:p>
          <w:p>
            <w:pPr>
              <w:spacing w:line="360" w:lineRule="auto"/>
              <w:ind w:firstLine="480" w:firstLineChars="200"/>
              <w:rPr>
                <w:sz w:val="24"/>
              </w:rPr>
            </w:pPr>
            <w:r>
              <w:rPr>
                <w:sz w:val="24"/>
              </w:rPr>
              <w:t>项目装卸时采用喷雾抑尘，且堆场设置为彩钢棚全密闭（层高3m）。通过采取上措施后，抑尘效率可达90%以上，则装卸粉尘排放量约为0.143t/a。</w:t>
            </w:r>
          </w:p>
          <w:p>
            <w:pPr>
              <w:pStyle w:val="80"/>
            </w:pPr>
            <w:r>
              <w:t>（3）堆场粉尘</w:t>
            </w:r>
          </w:p>
          <w:p>
            <w:pPr>
              <w:pStyle w:val="80"/>
            </w:pPr>
            <w:r>
              <w:t>项目堆料场占地面积约5000m</w:t>
            </w:r>
            <w:r>
              <w:rPr>
                <w:vertAlign w:val="superscript"/>
              </w:rPr>
              <w:t>2</w:t>
            </w:r>
            <w:r>
              <w:t>，矿石为含水率约为6%的颗粒，在风力作用下小碎石产生的二次扬尘较少。堆场粉尘按秦皇岛码头煤堆起尘量计算公式计算：</w:t>
            </w:r>
          </w:p>
          <w:p>
            <w:pPr>
              <w:pStyle w:val="80"/>
              <w:ind w:firstLine="0" w:firstLineChars="0"/>
              <w:jc w:val="center"/>
            </w:pPr>
            <w:r>
              <w:t>Q</w:t>
            </w:r>
            <w:r>
              <w:rPr>
                <w:vertAlign w:val="subscript"/>
              </w:rPr>
              <w:t>p</w:t>
            </w:r>
            <w:r>
              <w:t>=2.1K*（U-U</w:t>
            </w:r>
            <w:r>
              <w:rPr>
                <w:vertAlign w:val="subscript"/>
              </w:rPr>
              <w:t>0</w:t>
            </w:r>
            <w:r>
              <w:t>）</w:t>
            </w:r>
            <w:r>
              <w:rPr>
                <w:vertAlign w:val="superscript"/>
              </w:rPr>
              <w:t>3</w:t>
            </w:r>
            <w:r>
              <w:t>*e</w:t>
            </w:r>
            <w:r>
              <w:rPr>
                <w:vertAlign w:val="superscript"/>
              </w:rPr>
              <w:t>-1.023w</w:t>
            </w:r>
            <w:r>
              <w:t>*P</w:t>
            </w:r>
          </w:p>
          <w:p>
            <w:pPr>
              <w:pStyle w:val="80"/>
            </w:pPr>
            <w:r>
              <w:t>式中：</w:t>
            </w:r>
          </w:p>
          <w:p>
            <w:pPr>
              <w:pStyle w:val="80"/>
              <w:ind w:firstLine="960" w:firstLineChars="400"/>
            </w:pPr>
            <w:r>
              <w:t>Q</w:t>
            </w:r>
            <w:r>
              <w:rPr>
                <w:vertAlign w:val="subscript"/>
              </w:rPr>
              <w:t>p</w:t>
            </w:r>
            <w:r>
              <w:t>-堆起尘量，kg/a；</w:t>
            </w:r>
          </w:p>
          <w:p>
            <w:pPr>
              <w:pStyle w:val="80"/>
              <w:ind w:firstLine="960" w:firstLineChars="400"/>
            </w:pPr>
            <w:r>
              <w:t>K-经验系数，矿石含水量的函数，取K=0.96；</w:t>
            </w:r>
          </w:p>
          <w:p>
            <w:pPr>
              <w:pStyle w:val="80"/>
              <w:ind w:firstLine="960" w:firstLineChars="400"/>
            </w:pPr>
            <w:r>
              <w:t>U</w:t>
            </w:r>
            <w:r>
              <w:rPr>
                <w:vertAlign w:val="subscript"/>
              </w:rPr>
              <w:t>0</w:t>
            </w:r>
            <w:r>
              <w:t>-当地平均风速，1.9m/s；</w:t>
            </w:r>
          </w:p>
          <w:p>
            <w:pPr>
              <w:pStyle w:val="80"/>
              <w:ind w:firstLine="960" w:firstLineChars="400"/>
            </w:pPr>
            <w:r>
              <w:t>W-矿石表面含水率，%；</w:t>
            </w:r>
          </w:p>
          <w:p>
            <w:pPr>
              <w:pStyle w:val="80"/>
              <w:ind w:firstLine="960" w:firstLineChars="400"/>
            </w:pPr>
            <w:r>
              <w:t>P-年累计堆矿石量，t/a。</w:t>
            </w:r>
          </w:p>
          <w:p>
            <w:pPr>
              <w:pStyle w:val="80"/>
            </w:pPr>
            <w:r>
              <w:t>根据计算，本项目堆场扬尘产生量约为0.691t/a（0.096kg/h）。</w:t>
            </w:r>
          </w:p>
          <w:p>
            <w:pPr>
              <w:pStyle w:val="80"/>
            </w:pPr>
            <w:r>
              <w:t>为抑制扬尘产生，减少对周边大气环境的影响，建设单位在堆料场设置数条移动式喷水软管，对卸料点、堆场表面及中转过程进行喷雾降尘，同时堆场设置为彩钢棚全覆盖。通过采取以上措施，抑尘效率可达90%以上，则堆场扬尘排放量约为0.069t/a（0.010kg/h）。</w:t>
            </w:r>
          </w:p>
          <w:p>
            <w:pPr>
              <w:pStyle w:val="80"/>
            </w:pPr>
            <w:r>
              <w:t>（4）道路扬尘</w:t>
            </w:r>
          </w:p>
          <w:p>
            <w:pPr>
              <w:pStyle w:val="98"/>
              <w:adjustRightInd w:val="0"/>
              <w:snapToGrid w:val="0"/>
              <w:spacing w:before="0" w:after="0" w:line="360" w:lineRule="auto"/>
              <w:ind w:firstLine="480"/>
              <w:rPr>
                <w:color w:val="000000"/>
              </w:rPr>
            </w:pPr>
            <w:r>
              <w:rPr>
                <w:color w:val="000000"/>
              </w:rPr>
              <w:t>自卸式载重汽车在厂区内转运石料的过程中产生一定的扬尘，其产尘强度与路面种类、季节干湿以及汽车运行速度等因素有关，条件不同，起尘量差异也很大。</w:t>
            </w:r>
          </w:p>
          <w:p>
            <w:pPr>
              <w:pStyle w:val="98"/>
              <w:adjustRightInd w:val="0"/>
              <w:snapToGrid w:val="0"/>
              <w:spacing w:before="0" w:after="0" w:line="360" w:lineRule="auto"/>
              <w:ind w:firstLine="480"/>
              <w:rPr>
                <w:color w:val="000000"/>
              </w:rPr>
            </w:pPr>
            <w:r>
              <w:rPr>
                <w:color w:val="000000"/>
              </w:rPr>
              <w:t>根据美国国家环保局AP-42资料可知，该项目在工地的汽车运输扬尘的排放因子按下式计算：</w:t>
            </w:r>
          </w:p>
          <w:p>
            <w:pPr>
              <w:spacing w:line="360" w:lineRule="auto"/>
              <w:jc w:val="center"/>
              <w:rPr>
                <w:color w:val="000000"/>
                <w:sz w:val="24"/>
              </w:rPr>
            </w:pPr>
            <w:r>
              <w:rPr>
                <w:color w:val="000000"/>
                <w:position w:val="-28"/>
                <w:sz w:val="24"/>
              </w:rPr>
              <w:object>
                <v:shape id="_x0000_i1027" o:spt="75" type="#_x0000_t75" style="height:35.4pt;width:107.4pt;" o:ole="t" filled="f" o:preferrelative="t" stroked="f" coordsize="21600,21600">
                  <v:path/>
                  <v:fill on="f" focussize="0,0"/>
                  <v:stroke on="f" joinstyle="miter"/>
                  <v:imagedata r:id="rId13" o:title=""/>
                  <o:lock v:ext="edit" aspectratio="t"/>
                  <w10:wrap type="none"/>
                  <w10:anchorlock/>
                </v:shape>
                <o:OLEObject Type="Embed" ProgID="Equation.DSMT4" ShapeID="_x0000_i1027" DrawAspect="Content" ObjectID="_1468075727" r:id="rId12">
                  <o:LockedField>false</o:LockedField>
                </o:OLEObject>
              </w:object>
            </w:r>
          </w:p>
          <w:p>
            <w:pPr>
              <w:pStyle w:val="98"/>
              <w:spacing w:before="0" w:after="0" w:line="360" w:lineRule="auto"/>
              <w:ind w:firstLine="480"/>
              <w:rPr>
                <w:color w:val="000000"/>
              </w:rPr>
            </w:pPr>
            <w:r>
              <w:rPr>
                <w:color w:val="000000"/>
              </w:rPr>
              <w:t>其中：E――为机动车行驶单位长度污染物的排放因子，单位：1b/VMT，1b/VMT＝281.9g/km；</w:t>
            </w:r>
          </w:p>
          <w:p>
            <w:pPr>
              <w:pStyle w:val="99"/>
              <w:ind w:firstLine="1200" w:firstLineChars="500"/>
            </w:pPr>
            <w:r>
              <w:t>K――某一粒径颗粒物的基本排放因子，根据</w:t>
            </w:r>
            <w:r>
              <w:rPr>
                <w:szCs w:val="24"/>
              </w:rPr>
              <w:t>同类型项目</w:t>
            </w:r>
            <w:r>
              <w:t>，湿式条件下5μm以下的粉尘占80%～90%，故K的取值取PM-2.5作为代表。</w:t>
            </w:r>
          </w:p>
          <w:p>
            <w:pPr>
              <w:pStyle w:val="98"/>
              <w:adjustRightInd w:val="0"/>
              <w:snapToGrid w:val="0"/>
              <w:spacing w:before="0" w:after="0" w:line="360" w:lineRule="auto"/>
              <w:ind w:firstLine="1200" w:firstLineChars="500"/>
              <w:rPr>
                <w:color w:val="000000"/>
              </w:rPr>
            </w:pPr>
            <w:r>
              <w:rPr>
                <w:color w:val="000000"/>
              </w:rPr>
              <w:t>S――路面泥沙含量，％，根据美国国家环保局AP-42上的推荐值，S取8％。</w:t>
            </w:r>
          </w:p>
          <w:p>
            <w:pPr>
              <w:pStyle w:val="98"/>
              <w:adjustRightInd w:val="0"/>
              <w:snapToGrid w:val="0"/>
              <w:spacing w:before="0" w:after="0" w:line="360" w:lineRule="auto"/>
              <w:ind w:firstLine="1200" w:firstLineChars="500"/>
              <w:rPr>
                <w:color w:val="000000"/>
              </w:rPr>
            </w:pPr>
            <w:r>
              <w:rPr>
                <w:color w:val="000000"/>
              </w:rPr>
              <w:t>W――路面行驶车辆的平均载重量，t。本项目汽车额定载重量为15t。</w:t>
            </w:r>
          </w:p>
          <w:p>
            <w:pPr>
              <w:pStyle w:val="98"/>
              <w:adjustRightInd w:val="0"/>
              <w:snapToGrid w:val="0"/>
              <w:spacing w:before="0" w:after="0" w:line="360" w:lineRule="auto"/>
              <w:ind w:firstLine="1200" w:firstLineChars="500"/>
            </w:pPr>
            <w:r>
              <w:rPr>
                <w:color w:val="000000"/>
              </w:rPr>
              <w:t>M――路面材料的水份含量％，矿山在开采作业场地和运输道路进行喷雾降尘，每天往采场作业面、排土场、料场、矿山运输道路上喷雾数次，以减少汽车运输过程中产生扬尘。项目路面材料水份含量取15％。</w:t>
            </w:r>
          </w:p>
          <w:p>
            <w:pPr>
              <w:pStyle w:val="71"/>
              <w:rPr>
                <w:rFonts w:cs="Times New Roman"/>
              </w:rPr>
            </w:pPr>
            <w:r>
              <w:rPr>
                <w:rFonts w:cs="Times New Roman"/>
              </w:rPr>
              <w:t>表4-6    某一粒径颗粒物的基本排放因子</w:t>
            </w:r>
          </w:p>
          <w:tbl>
            <w:tblPr>
              <w:tblStyle w:val="25"/>
              <w:tblW w:w="83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4"/>
              <w:gridCol w:w="4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294"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jc w:val="center"/>
                    <w:rPr>
                      <w:rFonts w:ascii="Times New Roman" w:hAnsi="Times New Roman" w:cs="Times New Roman"/>
                      <w:color w:val="000000"/>
                    </w:rPr>
                  </w:pPr>
                  <w:r>
                    <w:rPr>
                      <w:rFonts w:ascii="Times New Roman" w:hAnsi="Times New Roman" w:cs="Times New Roman"/>
                      <w:color w:val="000000"/>
                    </w:rPr>
                    <w:t>常数</w:t>
                  </w:r>
                </w:p>
              </w:tc>
              <w:tc>
                <w:tcPr>
                  <w:tcW w:w="4073"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jc w:val="center"/>
                    <w:rPr>
                      <w:rFonts w:ascii="Times New Roman" w:hAnsi="Times New Roman" w:cs="Times New Roman"/>
                      <w:color w:val="000000"/>
                    </w:rPr>
                  </w:pPr>
                  <w:r>
                    <w:rPr>
                      <w:rFonts w:ascii="Times New Roman" w:hAnsi="Times New Roman" w:cs="Times New Roman"/>
                      <w:color w:val="000000"/>
                    </w:rPr>
                    <w:t>PM-2.5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294"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jc w:val="center"/>
                    <w:rPr>
                      <w:rFonts w:ascii="Times New Roman" w:hAnsi="Times New Roman" w:cs="Times New Roman"/>
                      <w:color w:val="000000"/>
                    </w:rPr>
                  </w:pPr>
                  <w:r>
                    <w:rPr>
                      <w:rFonts w:ascii="Times New Roman" w:hAnsi="Times New Roman" w:cs="Times New Roman"/>
                      <w:color w:val="000000"/>
                    </w:rPr>
                    <w:t>K（1b/VMT）</w:t>
                  </w:r>
                </w:p>
              </w:tc>
              <w:tc>
                <w:tcPr>
                  <w:tcW w:w="4073"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jc w:val="center"/>
                    <w:rPr>
                      <w:rFonts w:ascii="Times New Roman" w:hAnsi="Times New Roman" w:cs="Times New Roman"/>
                      <w:color w:val="000000"/>
                    </w:rPr>
                  </w:pPr>
                  <w:r>
                    <w:rPr>
                      <w:rFonts w:ascii="Times New Roman" w:hAnsi="Times New Roman" w:cs="Times New Roman"/>
                      <w:color w:val="000000"/>
                    </w:rPr>
                    <w:t>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294"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jc w:val="center"/>
                    <w:rPr>
                      <w:rFonts w:ascii="Times New Roman" w:hAnsi="Times New Roman" w:cs="Times New Roman"/>
                      <w:color w:val="000000"/>
                    </w:rPr>
                  </w:pPr>
                  <w:r>
                    <w:rPr>
                      <w:rFonts w:ascii="Times New Roman" w:hAnsi="Times New Roman" w:cs="Times New Roman"/>
                      <w:color w:val="000000"/>
                    </w:rPr>
                    <w:t>a</w:t>
                  </w:r>
                </w:p>
              </w:tc>
              <w:tc>
                <w:tcPr>
                  <w:tcW w:w="4073"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jc w:val="center"/>
                    <w:rPr>
                      <w:rFonts w:ascii="Times New Roman" w:hAnsi="Times New Roman" w:cs="Times New Roman"/>
                      <w:color w:val="000000"/>
                    </w:rPr>
                  </w:pPr>
                  <w:r>
                    <w:rPr>
                      <w:rFonts w:ascii="Times New Roman" w:hAnsi="Times New Roman" w:cs="Times New Roman"/>
                      <w:color w:val="000000"/>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294"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jc w:val="center"/>
                    <w:rPr>
                      <w:rFonts w:ascii="Times New Roman" w:hAnsi="Times New Roman" w:cs="Times New Roman"/>
                      <w:color w:val="000000"/>
                    </w:rPr>
                  </w:pPr>
                  <w:r>
                    <w:rPr>
                      <w:rFonts w:ascii="Times New Roman" w:hAnsi="Times New Roman" w:cs="Times New Roman"/>
                      <w:color w:val="000000"/>
                    </w:rPr>
                    <w:t>b</w:t>
                  </w:r>
                </w:p>
              </w:tc>
              <w:tc>
                <w:tcPr>
                  <w:tcW w:w="4073"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jc w:val="center"/>
                    <w:rPr>
                      <w:rFonts w:ascii="Times New Roman" w:hAnsi="Times New Roman" w:cs="Times New Roman"/>
                      <w:color w:val="000000"/>
                    </w:rPr>
                  </w:pPr>
                  <w:r>
                    <w:rPr>
                      <w:rFonts w:ascii="Times New Roman" w:hAnsi="Times New Roman" w:cs="Times New Roman"/>
                      <w:color w:val="000000"/>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294"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jc w:val="center"/>
                    <w:rPr>
                      <w:rFonts w:ascii="Times New Roman" w:hAnsi="Times New Roman" w:cs="Times New Roman"/>
                      <w:color w:val="000000"/>
                    </w:rPr>
                  </w:pPr>
                  <w:r>
                    <w:rPr>
                      <w:rFonts w:ascii="Times New Roman" w:hAnsi="Times New Roman" w:cs="Times New Roman"/>
                      <w:color w:val="000000"/>
                    </w:rPr>
                    <w:t>C</w:t>
                  </w:r>
                </w:p>
              </w:tc>
              <w:tc>
                <w:tcPr>
                  <w:tcW w:w="4073"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jc w:val="center"/>
                    <w:rPr>
                      <w:rFonts w:ascii="Times New Roman" w:hAnsi="Times New Roman" w:cs="Times New Roman"/>
                      <w:color w:val="000000"/>
                    </w:rPr>
                  </w:pPr>
                  <w:r>
                    <w:rPr>
                      <w:rFonts w:ascii="Times New Roman" w:hAnsi="Times New Roman" w:cs="Times New Roman"/>
                      <w:color w:val="000000"/>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294"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jc w:val="center"/>
                    <w:rPr>
                      <w:rFonts w:ascii="Times New Roman" w:hAnsi="Times New Roman" w:cs="Times New Roman"/>
                      <w:color w:val="000000"/>
                    </w:rPr>
                  </w:pPr>
                  <w:r>
                    <w:rPr>
                      <w:rFonts w:ascii="Times New Roman" w:hAnsi="Times New Roman" w:cs="Times New Roman"/>
                      <w:color w:val="000000"/>
                    </w:rPr>
                    <w:t>可信度</w:t>
                  </w:r>
                </w:p>
              </w:tc>
              <w:tc>
                <w:tcPr>
                  <w:tcW w:w="4073"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jc w:val="center"/>
                    <w:rPr>
                      <w:rFonts w:ascii="Times New Roman" w:hAnsi="Times New Roman" w:cs="Times New Roman"/>
                      <w:color w:val="000000"/>
                    </w:rPr>
                  </w:pPr>
                  <w:r>
                    <w:rPr>
                      <w:rFonts w:ascii="Times New Roman" w:hAnsi="Times New Roman" w:cs="Times New Roman"/>
                      <w:color w:val="000000"/>
                    </w:rPr>
                    <w:t>C</w:t>
                  </w:r>
                </w:p>
              </w:tc>
            </w:tr>
          </w:tbl>
          <w:p>
            <w:pPr>
              <w:wordWrap w:val="0"/>
              <w:topLinePunct/>
              <w:adjustRightInd w:val="0"/>
              <w:spacing w:line="360" w:lineRule="auto"/>
              <w:ind w:firstLine="482"/>
              <w:textAlignment w:val="baseline"/>
              <w:rPr>
                <w:sz w:val="24"/>
              </w:rPr>
            </w:pPr>
            <w:r>
              <w:rPr>
                <w:sz w:val="24"/>
              </w:rPr>
              <w:t>通过以上数据，15t车载重时产生的TSP的排放因子E＝0.14b/VMT，即40.37g/km。</w:t>
            </w:r>
          </w:p>
          <w:p>
            <w:pPr>
              <w:wordWrap w:val="0"/>
              <w:topLinePunct/>
              <w:adjustRightInd w:val="0"/>
              <w:spacing w:line="360" w:lineRule="auto"/>
              <w:ind w:firstLine="482"/>
              <w:textAlignment w:val="baseline"/>
              <w:rPr>
                <w:sz w:val="24"/>
              </w:rPr>
            </w:pPr>
            <w:r>
              <w:rPr>
                <w:sz w:val="24"/>
              </w:rPr>
              <w:t>根据项目设计方案，采用15t运输汽车，最大载重40t，项目用原料约10万t，则厂区范围内日均约有18辆车次开动。则车每年道路扬尘产生粉尘总量为18×0.1km×40.37g/km×300d/a=0.022t/a。</w:t>
            </w:r>
          </w:p>
          <w:p>
            <w:pPr>
              <w:wordWrap w:val="0"/>
              <w:topLinePunct/>
              <w:adjustRightInd w:val="0"/>
              <w:spacing w:line="360" w:lineRule="auto"/>
              <w:ind w:firstLine="482"/>
              <w:textAlignment w:val="baseline"/>
              <w:rPr>
                <w:sz w:val="24"/>
              </w:rPr>
            </w:pPr>
            <w:r>
              <w:rPr>
                <w:sz w:val="24"/>
              </w:rPr>
              <w:t>此外，评价建议项目对厂区内道路进行硬化及喷雾抑尘、对运输车辆进行加盖帆布并限制车速，经采取以上降尘措施治理后，汽车动力起尘量会减少70%，则项目汽车扬尘会减少至0.002t/a。汽车在厂区内运输每年按300天，每天8h计，则经过降尘措施后年产尘量折算成小时产尘量为0.0028kg/h（0.0066t/a）。</w:t>
            </w:r>
          </w:p>
          <w:p>
            <w:pPr>
              <w:wordWrap w:val="0"/>
              <w:topLinePunct/>
              <w:adjustRightInd w:val="0"/>
              <w:spacing w:line="360" w:lineRule="auto"/>
              <w:ind w:firstLine="482"/>
              <w:textAlignment w:val="baseline"/>
              <w:rPr>
                <w:sz w:val="24"/>
              </w:rPr>
            </w:pPr>
            <w:r>
              <w:rPr>
                <w:sz w:val="24"/>
              </w:rPr>
              <w:t>（5）厨房油烟</w:t>
            </w:r>
          </w:p>
          <w:p>
            <w:pPr>
              <w:wordWrap w:val="0"/>
              <w:topLinePunct/>
              <w:adjustRightInd w:val="0"/>
              <w:spacing w:line="360" w:lineRule="auto"/>
              <w:ind w:firstLine="482"/>
              <w:textAlignment w:val="baseline"/>
              <w:rPr>
                <w:sz w:val="24"/>
              </w:rPr>
            </w:pPr>
            <w:r>
              <w:rPr>
                <w:sz w:val="24"/>
              </w:rPr>
              <w:t>项目设置员工食堂，不对外开放。项目食堂采用电作为能源，食堂废气主要为炊事油烟。项目食堂设置1个灶头（规模属小型），服务人数为10人/d。根据对居民及餐饮企业的类比调查，目前居民人均日用油量约30g/人•d，则每天耗油0.3kg/d；一般油烟挥发量占耗油量的2～3%，本次环评取2.5%计，则计算得到油烟产生量为0.0075kg/d、2.25kg/a。</w:t>
            </w:r>
          </w:p>
          <w:p>
            <w:pPr>
              <w:wordWrap w:val="0"/>
              <w:topLinePunct/>
              <w:adjustRightInd w:val="0"/>
              <w:spacing w:line="360" w:lineRule="auto"/>
              <w:ind w:firstLine="482"/>
              <w:textAlignment w:val="baseline"/>
              <w:rPr>
                <w:sz w:val="24"/>
              </w:rPr>
            </w:pPr>
            <w:r>
              <w:rPr>
                <w:sz w:val="24"/>
              </w:rPr>
              <w:t>项目厨房油烟经抽油烟机处理后外排。抽油烟机风量2000m</w:t>
            </w:r>
            <w:r>
              <w:rPr>
                <w:sz w:val="24"/>
                <w:vertAlign w:val="superscript"/>
              </w:rPr>
              <w:t>3</w:t>
            </w:r>
            <w:r>
              <w:rPr>
                <w:sz w:val="24"/>
              </w:rPr>
              <w:t>/h。每天工作3h，每餐1h。油烟排放量为0.0025kg/h，外排油烟浓度约为1.25mg/m</w:t>
            </w:r>
            <w:r>
              <w:rPr>
                <w:sz w:val="24"/>
                <w:vertAlign w:val="superscript"/>
              </w:rPr>
              <w:t>3</w:t>
            </w:r>
            <w:r>
              <w:rPr>
                <w:sz w:val="24"/>
              </w:rPr>
              <w:t>，排放浓度小于2.0mg/m</w:t>
            </w:r>
            <w:r>
              <w:rPr>
                <w:sz w:val="24"/>
                <w:vertAlign w:val="superscript"/>
              </w:rPr>
              <w:t>3</w:t>
            </w:r>
            <w:r>
              <w:rPr>
                <w:sz w:val="24"/>
              </w:rPr>
              <w:t>。</w:t>
            </w:r>
          </w:p>
          <w:p>
            <w:pPr>
              <w:wordWrap w:val="0"/>
              <w:topLinePunct/>
              <w:adjustRightInd w:val="0"/>
              <w:spacing w:line="360" w:lineRule="auto"/>
              <w:ind w:firstLine="482"/>
              <w:textAlignment w:val="baseline"/>
              <w:rPr>
                <w:sz w:val="24"/>
              </w:rPr>
            </w:pPr>
            <w:r>
              <w:rPr>
                <w:sz w:val="24"/>
              </w:rPr>
              <w:t>二、污染治理设施基本情况</w:t>
            </w:r>
          </w:p>
          <w:p>
            <w:pPr>
              <w:wordWrap w:val="0"/>
              <w:topLinePunct/>
              <w:adjustRightInd w:val="0"/>
              <w:spacing w:line="360" w:lineRule="auto"/>
              <w:ind w:firstLine="482"/>
              <w:textAlignment w:val="baseline"/>
              <w:rPr>
                <w:sz w:val="24"/>
              </w:rPr>
            </w:pPr>
            <w:r>
              <w:rPr>
                <w:sz w:val="24"/>
              </w:rPr>
              <w:t>项目主要产污环节及拟采取的主要措施见表4-7。项目无组织排放矩形面源基本情况见表4-8。</w:t>
            </w:r>
          </w:p>
          <w:p>
            <w:pPr>
              <w:pStyle w:val="71"/>
              <w:rPr>
                <w:rFonts w:cs="Times New Roman"/>
              </w:rPr>
            </w:pPr>
            <w:r>
              <w:rPr>
                <w:rFonts w:cs="Times New Roman"/>
              </w:rPr>
              <w:t>表4-7    项目主要产污环节及措施一览表</w:t>
            </w:r>
          </w:p>
          <w:tbl>
            <w:tblPr>
              <w:tblStyle w:val="25"/>
              <w:tblW w:w="8246" w:type="dxa"/>
              <w:jc w:val="center"/>
              <w:tblInd w:w="0" w:type="dxa"/>
              <w:tblLayout w:type="fixed"/>
              <w:tblCellMar>
                <w:top w:w="0" w:type="dxa"/>
                <w:left w:w="0" w:type="dxa"/>
                <w:bottom w:w="0" w:type="dxa"/>
                <w:right w:w="0" w:type="dxa"/>
              </w:tblCellMar>
            </w:tblPr>
            <w:tblGrid>
              <w:gridCol w:w="1750"/>
              <w:gridCol w:w="3159"/>
              <w:gridCol w:w="3337"/>
            </w:tblGrid>
            <w:tr>
              <w:tblPrEx>
                <w:tblLayout w:type="fixed"/>
                <w:tblCellMar>
                  <w:top w:w="0" w:type="dxa"/>
                  <w:left w:w="0" w:type="dxa"/>
                  <w:bottom w:w="0" w:type="dxa"/>
                  <w:right w:w="0" w:type="dxa"/>
                </w:tblCellMar>
              </w:tblPrEx>
              <w:trPr>
                <w:trHeight w:val="20" w:hRule="atLeast"/>
                <w:jc w:val="center"/>
              </w:trPr>
              <w:tc>
                <w:tcPr>
                  <w:tcW w:w="17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b/>
                      <w:bCs/>
                    </w:rPr>
                  </w:pPr>
                  <w:r>
                    <w:rPr>
                      <w:b/>
                      <w:bCs/>
                    </w:rPr>
                    <w:t>生产单元</w:t>
                  </w:r>
                </w:p>
              </w:tc>
              <w:tc>
                <w:tcPr>
                  <w:tcW w:w="31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b/>
                      <w:bCs/>
                    </w:rPr>
                  </w:pPr>
                  <w:r>
                    <w:rPr>
                      <w:b/>
                      <w:bCs/>
                    </w:rPr>
                    <w:t>产污环节及污染物</w:t>
                  </w:r>
                </w:p>
              </w:tc>
              <w:tc>
                <w:tcPr>
                  <w:tcW w:w="333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b/>
                      <w:bCs/>
                    </w:rPr>
                  </w:pPr>
                  <w:r>
                    <w:rPr>
                      <w:b/>
                      <w:bCs/>
                    </w:rPr>
                    <w:t>措施</w:t>
                  </w:r>
                </w:p>
              </w:tc>
            </w:tr>
            <w:tr>
              <w:tblPrEx>
                <w:tblLayout w:type="fixed"/>
                <w:tblCellMar>
                  <w:top w:w="0" w:type="dxa"/>
                  <w:left w:w="0" w:type="dxa"/>
                  <w:bottom w:w="0" w:type="dxa"/>
                  <w:right w:w="0" w:type="dxa"/>
                </w:tblCellMar>
              </w:tblPrEx>
              <w:trPr>
                <w:trHeight w:val="20" w:hRule="atLeast"/>
                <w:jc w:val="center"/>
              </w:trPr>
              <w:tc>
                <w:tcPr>
                  <w:tcW w:w="175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Style w:val="100"/>
                    <w:rPr>
                      <w:rFonts w:cs="Times New Roman"/>
                    </w:rPr>
                  </w:pPr>
                  <w:r>
                    <w:rPr>
                      <w:rFonts w:cs="Times New Roman"/>
                    </w:rPr>
                    <w:t>砂石加工区</w:t>
                  </w:r>
                </w:p>
              </w:tc>
              <w:tc>
                <w:tcPr>
                  <w:tcW w:w="3159" w:type="dxa"/>
                  <w:tcBorders>
                    <w:top w:val="single" w:color="000000" w:sz="4" w:space="0"/>
                    <w:left w:val="single" w:color="000000" w:sz="4" w:space="0"/>
                    <w:right w:val="single" w:color="000000" w:sz="4" w:space="0"/>
                  </w:tcBorders>
                  <w:tcMar>
                    <w:top w:w="10" w:type="dxa"/>
                    <w:left w:w="10" w:type="dxa"/>
                    <w:right w:w="10" w:type="dxa"/>
                  </w:tcMar>
                </w:tcPr>
                <w:p>
                  <w:pPr>
                    <w:jc w:val="center"/>
                  </w:pPr>
                  <w:r>
                    <w:rPr>
                      <w:szCs w:val="21"/>
                    </w:rPr>
                    <w:t>砂石料加工粉尘</w:t>
                  </w:r>
                </w:p>
              </w:tc>
              <w:tc>
                <w:tcPr>
                  <w:tcW w:w="333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tcPr>
                <w:p>
                  <w:pPr>
                    <w:jc w:val="center"/>
                  </w:pPr>
                  <w:r>
                    <w:rPr>
                      <w:szCs w:val="21"/>
                    </w:rPr>
                    <w:t>喷雾降尘、车间密闭</w:t>
                  </w:r>
                </w:p>
              </w:tc>
            </w:tr>
            <w:tr>
              <w:tblPrEx>
                <w:tblLayout w:type="fixed"/>
                <w:tblCellMar>
                  <w:top w:w="0" w:type="dxa"/>
                  <w:left w:w="0" w:type="dxa"/>
                  <w:bottom w:w="0" w:type="dxa"/>
                  <w:right w:w="0" w:type="dxa"/>
                </w:tblCellMar>
              </w:tblPrEx>
              <w:trPr>
                <w:trHeight w:val="67" w:hRule="atLeast"/>
                <w:jc w:val="center"/>
              </w:trPr>
              <w:tc>
                <w:tcPr>
                  <w:tcW w:w="17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pStyle w:val="100"/>
                    <w:rPr>
                      <w:rFonts w:cs="Times New Roman"/>
                    </w:rPr>
                  </w:pPr>
                  <w:r>
                    <w:rPr>
                      <w:rFonts w:cs="Times New Roman"/>
                    </w:rPr>
                    <w:t>装卸车辆起尘量</w:t>
                  </w:r>
                </w:p>
              </w:tc>
              <w:tc>
                <w:tcPr>
                  <w:tcW w:w="315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tcPr>
                <w:p>
                  <w:pPr>
                    <w:jc w:val="center"/>
                  </w:pPr>
                  <w:r>
                    <w:rPr>
                      <w:szCs w:val="21"/>
                    </w:rPr>
                    <w:t>装卸起尘</w:t>
                  </w:r>
                </w:p>
              </w:tc>
              <w:tc>
                <w:tcPr>
                  <w:tcW w:w="333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tcPr>
                <w:p>
                  <w:pPr>
                    <w:jc w:val="center"/>
                  </w:pPr>
                  <w:r>
                    <w:rPr>
                      <w:szCs w:val="21"/>
                    </w:rPr>
                    <w:t>喷雾降尘</w:t>
                  </w:r>
                </w:p>
              </w:tc>
            </w:tr>
            <w:tr>
              <w:tblPrEx>
                <w:tblLayout w:type="fixed"/>
                <w:tblCellMar>
                  <w:top w:w="0" w:type="dxa"/>
                  <w:left w:w="0" w:type="dxa"/>
                  <w:bottom w:w="0" w:type="dxa"/>
                  <w:right w:w="0" w:type="dxa"/>
                </w:tblCellMar>
              </w:tblPrEx>
              <w:trPr>
                <w:trHeight w:val="20" w:hRule="atLeast"/>
                <w:jc w:val="center"/>
              </w:trPr>
              <w:tc>
                <w:tcPr>
                  <w:tcW w:w="17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pStyle w:val="100"/>
                    <w:rPr>
                      <w:rFonts w:cs="Times New Roman"/>
                    </w:rPr>
                  </w:pPr>
                  <w:r>
                    <w:rPr>
                      <w:rFonts w:cs="Times New Roman"/>
                    </w:rPr>
                    <w:t>砂石料堆场</w:t>
                  </w:r>
                </w:p>
              </w:tc>
              <w:tc>
                <w:tcPr>
                  <w:tcW w:w="315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tcPr>
                <w:p>
                  <w:pPr>
                    <w:jc w:val="center"/>
                  </w:pPr>
                  <w:r>
                    <w:rPr>
                      <w:szCs w:val="21"/>
                    </w:rPr>
                    <w:t>堆场粉尘</w:t>
                  </w:r>
                </w:p>
              </w:tc>
              <w:tc>
                <w:tcPr>
                  <w:tcW w:w="333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tcPr>
                <w:p>
                  <w:pPr>
                    <w:jc w:val="center"/>
                  </w:pPr>
                  <w:r>
                    <w:rPr>
                      <w:szCs w:val="21"/>
                    </w:rPr>
                    <w:t>喷雾降尘、无纺布遮盖、车间密闭</w:t>
                  </w:r>
                </w:p>
              </w:tc>
            </w:tr>
            <w:tr>
              <w:tblPrEx>
                <w:tblLayout w:type="fixed"/>
                <w:tblCellMar>
                  <w:top w:w="0" w:type="dxa"/>
                  <w:left w:w="0" w:type="dxa"/>
                  <w:bottom w:w="0" w:type="dxa"/>
                  <w:right w:w="0" w:type="dxa"/>
                </w:tblCellMar>
              </w:tblPrEx>
              <w:trPr>
                <w:trHeight w:val="20" w:hRule="atLeast"/>
                <w:jc w:val="center"/>
              </w:trPr>
              <w:tc>
                <w:tcPr>
                  <w:tcW w:w="17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pStyle w:val="100"/>
                    <w:rPr>
                      <w:rFonts w:cs="Times New Roman"/>
                    </w:rPr>
                  </w:pPr>
                  <w:r>
                    <w:rPr>
                      <w:rFonts w:cs="Times New Roman"/>
                    </w:rPr>
                    <w:t>道路运输</w:t>
                  </w:r>
                </w:p>
              </w:tc>
              <w:tc>
                <w:tcPr>
                  <w:tcW w:w="315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tcPr>
                <w:p>
                  <w:pPr>
                    <w:jc w:val="center"/>
                  </w:pPr>
                  <w:r>
                    <w:rPr>
                      <w:szCs w:val="21"/>
                    </w:rPr>
                    <w:t>道路扬尘</w:t>
                  </w:r>
                </w:p>
              </w:tc>
              <w:tc>
                <w:tcPr>
                  <w:tcW w:w="333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tcPr>
                <w:p>
                  <w:pPr>
                    <w:jc w:val="center"/>
                  </w:pPr>
                  <w:r>
                    <w:rPr>
                      <w:szCs w:val="21"/>
                    </w:rPr>
                    <w:t>喷雾降尘、道路清扫</w:t>
                  </w:r>
                </w:p>
              </w:tc>
            </w:tr>
          </w:tbl>
          <w:p>
            <w:pPr>
              <w:pStyle w:val="71"/>
              <w:rPr>
                <w:rFonts w:cs="Times New Roman"/>
              </w:rPr>
            </w:pPr>
            <w:r>
              <w:rPr>
                <w:rFonts w:cs="Times New Roman"/>
              </w:rPr>
              <w:t>表4-8    项目无组织排放矩形面源基本情况表</w:t>
            </w:r>
          </w:p>
          <w:tbl>
            <w:tblPr>
              <w:tblStyle w:val="25"/>
              <w:tblW w:w="8249" w:type="dxa"/>
              <w:tblInd w:w="0" w:type="dxa"/>
              <w:tblLayout w:type="fixed"/>
              <w:tblCellMar>
                <w:top w:w="0" w:type="dxa"/>
                <w:left w:w="0" w:type="dxa"/>
                <w:bottom w:w="0" w:type="dxa"/>
                <w:right w:w="0" w:type="dxa"/>
              </w:tblCellMar>
            </w:tblPr>
            <w:tblGrid>
              <w:gridCol w:w="1935"/>
              <w:gridCol w:w="1045"/>
              <w:gridCol w:w="1045"/>
              <w:gridCol w:w="1329"/>
              <w:gridCol w:w="853"/>
              <w:gridCol w:w="841"/>
              <w:gridCol w:w="1201"/>
            </w:tblGrid>
            <w:tr>
              <w:tblPrEx>
                <w:tblLayout w:type="fixed"/>
                <w:tblCellMar>
                  <w:top w:w="0" w:type="dxa"/>
                  <w:left w:w="0" w:type="dxa"/>
                  <w:bottom w:w="0" w:type="dxa"/>
                  <w:right w:w="0" w:type="dxa"/>
                </w:tblCellMar>
              </w:tblPrEx>
              <w:trPr>
                <w:trHeight w:val="18" w:hRule="atLeast"/>
              </w:trPr>
              <w:tc>
                <w:tcPr>
                  <w:tcW w:w="19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bCs/>
                      <w:szCs w:val="21"/>
                    </w:rPr>
                  </w:pPr>
                  <w:r>
                    <w:rPr>
                      <w:bCs/>
                      <w:szCs w:val="21"/>
                    </w:rPr>
                    <w:t>污染源名称</w:t>
                  </w:r>
                </w:p>
              </w:tc>
              <w:tc>
                <w:tcPr>
                  <w:tcW w:w="20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bCs/>
                      <w:szCs w:val="21"/>
                    </w:rPr>
                  </w:pPr>
                  <w:r>
                    <w:rPr>
                      <w:bCs/>
                      <w:szCs w:val="21"/>
                    </w:rPr>
                    <w:t>坐标(°)</w:t>
                  </w:r>
                </w:p>
              </w:tc>
              <w:tc>
                <w:tcPr>
                  <w:tcW w:w="132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bCs/>
                      <w:szCs w:val="21"/>
                    </w:rPr>
                  </w:pPr>
                  <w:r>
                    <w:rPr>
                      <w:bCs/>
                      <w:szCs w:val="21"/>
                    </w:rPr>
                    <w:t>海拔高度(m)</w:t>
                  </w:r>
                </w:p>
              </w:tc>
              <w:tc>
                <w:tcPr>
                  <w:tcW w:w="289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bCs/>
                      <w:szCs w:val="21"/>
                    </w:rPr>
                  </w:pPr>
                  <w:r>
                    <w:rPr>
                      <w:bCs/>
                      <w:szCs w:val="21"/>
                    </w:rPr>
                    <w:t>矩形面源</w:t>
                  </w:r>
                </w:p>
              </w:tc>
            </w:tr>
            <w:tr>
              <w:tblPrEx>
                <w:tblLayout w:type="fixed"/>
                <w:tblCellMar>
                  <w:top w:w="0" w:type="dxa"/>
                  <w:left w:w="0" w:type="dxa"/>
                  <w:bottom w:w="0" w:type="dxa"/>
                  <w:right w:w="0" w:type="dxa"/>
                </w:tblCellMar>
              </w:tblPrEx>
              <w:trPr>
                <w:trHeight w:val="18" w:hRule="atLeast"/>
              </w:trPr>
              <w:tc>
                <w:tcPr>
                  <w:tcW w:w="19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bCs/>
                      <w:szCs w:val="21"/>
                    </w:rPr>
                  </w:pP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bCs/>
                      <w:szCs w:val="21"/>
                    </w:rPr>
                  </w:pPr>
                  <w:r>
                    <w:rPr>
                      <w:bCs/>
                      <w:szCs w:val="21"/>
                    </w:rPr>
                    <w:t>经度</w:t>
                  </w: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bCs/>
                      <w:szCs w:val="21"/>
                    </w:rPr>
                  </w:pPr>
                  <w:r>
                    <w:rPr>
                      <w:bCs/>
                      <w:szCs w:val="21"/>
                    </w:rPr>
                    <w:t>纬度</w:t>
                  </w:r>
                </w:p>
              </w:tc>
              <w:tc>
                <w:tcPr>
                  <w:tcW w:w="132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bCs/>
                      <w:szCs w:val="21"/>
                    </w:rPr>
                  </w:pPr>
                </w:p>
              </w:tc>
              <w:tc>
                <w:tcPr>
                  <w:tcW w:w="8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bCs/>
                      <w:szCs w:val="21"/>
                    </w:rPr>
                  </w:pPr>
                  <w:r>
                    <w:rPr>
                      <w:bCs/>
                      <w:szCs w:val="21"/>
                    </w:rPr>
                    <w:t>长度(m)</w:t>
                  </w:r>
                </w:p>
              </w:tc>
              <w:tc>
                <w:tcPr>
                  <w:tcW w:w="8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bCs/>
                      <w:szCs w:val="21"/>
                    </w:rPr>
                  </w:pPr>
                  <w:r>
                    <w:rPr>
                      <w:bCs/>
                      <w:szCs w:val="21"/>
                    </w:rPr>
                    <w:t>宽度(m)</w:t>
                  </w:r>
                </w:p>
              </w:tc>
              <w:tc>
                <w:tcPr>
                  <w:tcW w:w="1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bCs/>
                      <w:szCs w:val="21"/>
                    </w:rPr>
                  </w:pPr>
                  <w:r>
                    <w:rPr>
                      <w:bCs/>
                      <w:szCs w:val="21"/>
                    </w:rPr>
                    <w:t>有效高度(m)</w:t>
                  </w:r>
                </w:p>
              </w:tc>
            </w:tr>
            <w:tr>
              <w:tblPrEx>
                <w:tblLayout w:type="fixed"/>
                <w:tblCellMar>
                  <w:top w:w="0" w:type="dxa"/>
                  <w:left w:w="0" w:type="dxa"/>
                  <w:bottom w:w="0" w:type="dxa"/>
                  <w:right w:w="0" w:type="dxa"/>
                </w:tblCellMar>
              </w:tblPrEx>
              <w:trPr>
                <w:trHeight w:val="18" w:hRule="atLeast"/>
              </w:trPr>
              <w:tc>
                <w:tcPr>
                  <w:tcW w:w="1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Cs w:val="21"/>
                    </w:rPr>
                  </w:pPr>
                  <w:r>
                    <w:rPr>
                      <w:szCs w:val="21"/>
                    </w:rPr>
                    <w:t>项目厂界矩形面源</w:t>
                  </w: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pPr>
                  <w:r>
                    <w:t>99.255380</w:t>
                  </w: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pPr>
                  <w:r>
                    <w:t>26.121249</w:t>
                  </w:r>
                </w:p>
              </w:tc>
              <w:tc>
                <w:tcPr>
                  <w:tcW w:w="13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Cs w:val="21"/>
                    </w:rPr>
                  </w:pPr>
                  <w:r>
                    <w:rPr>
                      <w:szCs w:val="21"/>
                    </w:rPr>
                    <w:t>2093</w:t>
                  </w:r>
                </w:p>
              </w:tc>
              <w:tc>
                <w:tcPr>
                  <w:tcW w:w="8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Cs w:val="21"/>
                    </w:rPr>
                  </w:pPr>
                  <w:r>
                    <w:rPr>
                      <w:szCs w:val="21"/>
                    </w:rPr>
                    <w:t>900</w:t>
                  </w:r>
                </w:p>
              </w:tc>
              <w:tc>
                <w:tcPr>
                  <w:tcW w:w="8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Cs w:val="21"/>
                    </w:rPr>
                  </w:pPr>
                  <w:r>
                    <w:rPr>
                      <w:szCs w:val="21"/>
                    </w:rPr>
                    <w:t>500</w:t>
                  </w:r>
                </w:p>
              </w:tc>
              <w:tc>
                <w:tcPr>
                  <w:tcW w:w="1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Cs w:val="21"/>
                    </w:rPr>
                  </w:pPr>
                  <w:r>
                    <w:rPr>
                      <w:szCs w:val="21"/>
                    </w:rPr>
                    <w:t>5.0</w:t>
                  </w:r>
                </w:p>
              </w:tc>
            </w:tr>
          </w:tbl>
          <w:p>
            <w:pPr>
              <w:wordWrap w:val="0"/>
              <w:topLinePunct/>
              <w:adjustRightInd w:val="0"/>
              <w:spacing w:line="360" w:lineRule="auto"/>
              <w:ind w:firstLine="488"/>
              <w:jc w:val="left"/>
              <w:textAlignment w:val="baseline"/>
              <w:rPr>
                <w:sz w:val="24"/>
              </w:rPr>
            </w:pPr>
            <w:r>
              <w:rPr>
                <w:sz w:val="24"/>
              </w:rPr>
              <w:t>三、治理设施可行性分析</w:t>
            </w:r>
          </w:p>
          <w:p>
            <w:pPr>
              <w:wordWrap w:val="0"/>
              <w:topLinePunct/>
              <w:adjustRightInd w:val="0"/>
              <w:spacing w:line="360" w:lineRule="auto"/>
              <w:ind w:firstLine="482"/>
              <w:textAlignment w:val="baseline"/>
              <w:rPr>
                <w:sz w:val="24"/>
              </w:rPr>
            </w:pPr>
            <w:r>
              <w:rPr>
                <w:sz w:val="24"/>
              </w:rPr>
              <w:t>本项目所在行业不在“排污许可证申请与核发技术规范”行业内，因此，本项目参照《水泥工业污染防治最佳可行技术指南》（征求意见稿）中的可行技术，对项目废气治理措施可行性进行分析。</w:t>
            </w:r>
          </w:p>
          <w:p>
            <w:pPr>
              <w:pStyle w:val="71"/>
              <w:rPr>
                <w:rFonts w:cs="Times New Roman"/>
              </w:rPr>
            </w:pPr>
            <w:r>
              <w:rPr>
                <w:rFonts w:cs="Times New Roman"/>
              </w:rPr>
              <w:t>表4-9    项目生产的可行防治技术</w:t>
            </w:r>
          </w:p>
          <w:tbl>
            <w:tblPr>
              <w:tblStyle w:val="25"/>
              <w:tblW w:w="8234" w:type="dxa"/>
              <w:tblInd w:w="0" w:type="dxa"/>
              <w:tblLayout w:type="fixed"/>
              <w:tblCellMar>
                <w:top w:w="0" w:type="dxa"/>
                <w:left w:w="0" w:type="dxa"/>
                <w:bottom w:w="0" w:type="dxa"/>
                <w:right w:w="0" w:type="dxa"/>
              </w:tblCellMar>
            </w:tblPr>
            <w:tblGrid>
              <w:gridCol w:w="2628"/>
              <w:gridCol w:w="1991"/>
              <w:gridCol w:w="3615"/>
            </w:tblGrid>
            <w:tr>
              <w:tblPrEx>
                <w:tblLayout w:type="fixed"/>
                <w:tblCellMar>
                  <w:top w:w="0" w:type="dxa"/>
                  <w:left w:w="0" w:type="dxa"/>
                  <w:bottom w:w="0" w:type="dxa"/>
                  <w:right w:w="0" w:type="dxa"/>
                </w:tblCellMar>
              </w:tblPrEx>
              <w:trPr>
                <w:trHeight w:val="20" w:hRule="atLeast"/>
              </w:trPr>
              <w:tc>
                <w:tcPr>
                  <w:tcW w:w="2628"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szCs w:val="21"/>
                    </w:rPr>
                  </w:pPr>
                  <w:r>
                    <w:rPr>
                      <w:kern w:val="0"/>
                      <w:szCs w:val="21"/>
                      <w:lang w:bidi="ar"/>
                    </w:rPr>
                    <w:t>废气类别</w:t>
                  </w:r>
                </w:p>
              </w:tc>
              <w:tc>
                <w:tcPr>
                  <w:tcW w:w="199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szCs w:val="21"/>
                    </w:rPr>
                  </w:pPr>
                  <w:r>
                    <w:rPr>
                      <w:kern w:val="0"/>
                      <w:szCs w:val="21"/>
                      <w:lang w:bidi="ar"/>
                    </w:rPr>
                    <w:t>主要污染物</w:t>
                  </w:r>
                </w:p>
              </w:tc>
              <w:tc>
                <w:tcPr>
                  <w:tcW w:w="361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szCs w:val="21"/>
                    </w:rPr>
                  </w:pPr>
                  <w:r>
                    <w:rPr>
                      <w:kern w:val="0"/>
                      <w:szCs w:val="21"/>
                      <w:lang w:bidi="ar"/>
                    </w:rPr>
                    <w:t>可行技术</w:t>
                  </w:r>
                </w:p>
              </w:tc>
            </w:tr>
            <w:tr>
              <w:tblPrEx>
                <w:tblLayout w:type="fixed"/>
                <w:tblCellMar>
                  <w:top w:w="0" w:type="dxa"/>
                  <w:left w:w="0" w:type="dxa"/>
                  <w:bottom w:w="0" w:type="dxa"/>
                  <w:right w:w="0" w:type="dxa"/>
                </w:tblCellMar>
              </w:tblPrEx>
              <w:trPr>
                <w:trHeight w:val="20" w:hRule="atLeast"/>
              </w:trPr>
              <w:tc>
                <w:tcPr>
                  <w:tcW w:w="2628"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szCs w:val="21"/>
                    </w:rPr>
                  </w:pPr>
                  <w:r>
                    <w:rPr>
                      <w:szCs w:val="21"/>
                    </w:rPr>
                    <w:t>砂石料加工粉尘</w:t>
                  </w:r>
                </w:p>
              </w:tc>
              <w:tc>
                <w:tcPr>
                  <w:tcW w:w="199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szCs w:val="21"/>
                    </w:rPr>
                  </w:pPr>
                  <w:r>
                    <w:rPr>
                      <w:kern w:val="0"/>
                      <w:szCs w:val="21"/>
                      <w:lang w:bidi="ar"/>
                    </w:rPr>
                    <w:t>颗粒物</w:t>
                  </w:r>
                </w:p>
              </w:tc>
              <w:tc>
                <w:tcPr>
                  <w:tcW w:w="361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szCs w:val="21"/>
                    </w:rPr>
                  </w:pPr>
                  <w:r>
                    <w:rPr>
                      <w:szCs w:val="21"/>
                    </w:rPr>
                    <w:t>喷雾降尘及湿法作业</w:t>
                  </w:r>
                </w:p>
              </w:tc>
            </w:tr>
            <w:tr>
              <w:tblPrEx>
                <w:tblLayout w:type="fixed"/>
                <w:tblCellMar>
                  <w:top w:w="0" w:type="dxa"/>
                  <w:left w:w="0" w:type="dxa"/>
                  <w:bottom w:w="0" w:type="dxa"/>
                  <w:right w:w="0" w:type="dxa"/>
                </w:tblCellMar>
              </w:tblPrEx>
              <w:trPr>
                <w:trHeight w:val="20" w:hRule="atLeast"/>
              </w:trPr>
              <w:tc>
                <w:tcPr>
                  <w:tcW w:w="2628"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szCs w:val="21"/>
                    </w:rPr>
                  </w:pPr>
                  <w:r>
                    <w:rPr>
                      <w:szCs w:val="21"/>
                    </w:rPr>
                    <w:t>装卸起尘</w:t>
                  </w:r>
                </w:p>
              </w:tc>
              <w:tc>
                <w:tcPr>
                  <w:tcW w:w="199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szCs w:val="21"/>
                    </w:rPr>
                  </w:pPr>
                  <w:r>
                    <w:rPr>
                      <w:kern w:val="0"/>
                      <w:szCs w:val="21"/>
                      <w:lang w:bidi="ar"/>
                    </w:rPr>
                    <w:t>颗粒物</w:t>
                  </w:r>
                </w:p>
              </w:tc>
              <w:tc>
                <w:tcPr>
                  <w:tcW w:w="361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szCs w:val="21"/>
                    </w:rPr>
                  </w:pPr>
                  <w:r>
                    <w:rPr>
                      <w:szCs w:val="21"/>
                    </w:rPr>
                    <w:t>喷雾降尘</w:t>
                  </w:r>
                </w:p>
              </w:tc>
            </w:tr>
            <w:tr>
              <w:tblPrEx>
                <w:tblLayout w:type="fixed"/>
                <w:tblCellMar>
                  <w:top w:w="0" w:type="dxa"/>
                  <w:left w:w="0" w:type="dxa"/>
                  <w:bottom w:w="0" w:type="dxa"/>
                  <w:right w:w="0" w:type="dxa"/>
                </w:tblCellMar>
              </w:tblPrEx>
              <w:trPr>
                <w:trHeight w:val="20" w:hRule="atLeast"/>
              </w:trPr>
              <w:tc>
                <w:tcPr>
                  <w:tcW w:w="2628"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szCs w:val="21"/>
                    </w:rPr>
                  </w:pPr>
                  <w:r>
                    <w:rPr>
                      <w:szCs w:val="21"/>
                    </w:rPr>
                    <w:t>堆场粉尘</w:t>
                  </w:r>
                </w:p>
              </w:tc>
              <w:tc>
                <w:tcPr>
                  <w:tcW w:w="199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szCs w:val="21"/>
                    </w:rPr>
                  </w:pPr>
                  <w:r>
                    <w:rPr>
                      <w:kern w:val="0"/>
                      <w:szCs w:val="21"/>
                      <w:lang w:bidi="ar"/>
                    </w:rPr>
                    <w:t>颗粒物</w:t>
                  </w:r>
                </w:p>
              </w:tc>
              <w:tc>
                <w:tcPr>
                  <w:tcW w:w="361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szCs w:val="21"/>
                    </w:rPr>
                  </w:pPr>
                  <w:r>
                    <w:rPr>
                      <w:szCs w:val="21"/>
                    </w:rPr>
                    <w:t>喷雾降尘、无纺布遮盖</w:t>
                  </w:r>
                </w:p>
              </w:tc>
            </w:tr>
            <w:tr>
              <w:tblPrEx>
                <w:tblLayout w:type="fixed"/>
                <w:tblCellMar>
                  <w:top w:w="0" w:type="dxa"/>
                  <w:left w:w="0" w:type="dxa"/>
                  <w:bottom w:w="0" w:type="dxa"/>
                  <w:right w:w="0" w:type="dxa"/>
                </w:tblCellMar>
              </w:tblPrEx>
              <w:trPr>
                <w:trHeight w:val="20" w:hRule="atLeast"/>
              </w:trPr>
              <w:tc>
                <w:tcPr>
                  <w:tcW w:w="2628"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kern w:val="0"/>
                      <w:szCs w:val="21"/>
                      <w:lang w:bidi="ar"/>
                    </w:rPr>
                  </w:pPr>
                  <w:r>
                    <w:rPr>
                      <w:szCs w:val="21"/>
                    </w:rPr>
                    <w:t>道路扬尘</w:t>
                  </w:r>
                </w:p>
              </w:tc>
              <w:tc>
                <w:tcPr>
                  <w:tcW w:w="199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kern w:val="0"/>
                      <w:szCs w:val="21"/>
                      <w:lang w:bidi="ar"/>
                    </w:rPr>
                  </w:pPr>
                  <w:r>
                    <w:rPr>
                      <w:kern w:val="0"/>
                      <w:szCs w:val="21"/>
                      <w:lang w:bidi="ar"/>
                    </w:rPr>
                    <w:t>颗粒物</w:t>
                  </w:r>
                </w:p>
              </w:tc>
              <w:tc>
                <w:tcPr>
                  <w:tcW w:w="361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kern w:val="0"/>
                      <w:szCs w:val="21"/>
                      <w:lang w:bidi="ar"/>
                    </w:rPr>
                  </w:pPr>
                  <w:r>
                    <w:rPr>
                      <w:szCs w:val="21"/>
                    </w:rPr>
                    <w:t>喷雾降尘、道路清扫</w:t>
                  </w:r>
                </w:p>
              </w:tc>
            </w:tr>
          </w:tbl>
          <w:p>
            <w:pPr>
              <w:wordWrap w:val="0"/>
              <w:topLinePunct/>
              <w:adjustRightInd w:val="0"/>
              <w:spacing w:line="360" w:lineRule="auto"/>
              <w:ind w:firstLine="482"/>
              <w:textAlignment w:val="baseline"/>
              <w:rPr>
                <w:sz w:val="24"/>
              </w:rPr>
            </w:pPr>
            <w:r>
              <w:rPr>
                <w:sz w:val="24"/>
              </w:rPr>
              <w:t>本项目砂石料堆场采用无纺布遮盖，并对堆场喷雾降尘及车间密闭；砂石装卸过程采取喷雾降尘的方式减小起尘量；项目砂石原料破碎工段设置喷淋装置，采取湿法破碎工艺进行破碎，打砂过程采用喷淋降尘作业的措施；运输扬尘采取喷雾降尘措施并及时清扫道路。</w:t>
            </w:r>
          </w:p>
          <w:p>
            <w:pPr>
              <w:wordWrap w:val="0"/>
              <w:topLinePunct/>
              <w:adjustRightInd w:val="0"/>
              <w:spacing w:line="360" w:lineRule="auto"/>
              <w:ind w:firstLine="482"/>
              <w:textAlignment w:val="baseline"/>
              <w:rPr>
                <w:sz w:val="24"/>
              </w:rPr>
            </w:pPr>
            <w:r>
              <w:rPr>
                <w:sz w:val="24"/>
              </w:rPr>
              <w:t>《水泥工业污染防治最佳可行技术指南》（征求意见稿）中的：“8.2.2.8 无组织排放控制措施中可采取的控制措施如下：尽可能减少物料露天堆放，露天储料场应采取防起尘、防雨水冲刷流失的措施；对块石、粘湿物料以及车船装、卸料过程，应采取有效防扬尘措施。所以，项目采用的废气治理技术均为可行的防治技术。</w:t>
            </w:r>
          </w:p>
          <w:p>
            <w:pPr>
              <w:wordWrap w:val="0"/>
              <w:topLinePunct/>
              <w:adjustRightInd w:val="0"/>
              <w:spacing w:line="360" w:lineRule="auto"/>
              <w:ind w:firstLine="482"/>
              <w:textAlignment w:val="baseline"/>
              <w:rPr>
                <w:sz w:val="24"/>
              </w:rPr>
            </w:pPr>
            <w:r>
              <w:rPr>
                <w:sz w:val="24"/>
              </w:rPr>
              <w:t>四、监测计划</w:t>
            </w:r>
          </w:p>
          <w:p>
            <w:pPr>
              <w:wordWrap w:val="0"/>
              <w:topLinePunct/>
              <w:adjustRightInd w:val="0"/>
              <w:spacing w:line="360" w:lineRule="auto"/>
              <w:ind w:firstLine="482"/>
              <w:textAlignment w:val="baseline"/>
              <w:rPr>
                <w:sz w:val="24"/>
              </w:rPr>
            </w:pPr>
            <w:r>
              <w:rPr>
                <w:sz w:val="24"/>
              </w:rPr>
              <w:t>对本项目而言，环境监测主要是废气的监测。通过监测才能掌握治理设备行的状况，以便发现问题，及时解决问题。根据《排污单位自行监测技术指南 总则》（HJ819-2017）中项目生产废气监测要求如下：</w:t>
            </w:r>
          </w:p>
          <w:p>
            <w:pPr>
              <w:pStyle w:val="71"/>
              <w:rPr>
                <w:rFonts w:cs="Times New Roman"/>
              </w:rPr>
            </w:pPr>
            <w:r>
              <w:rPr>
                <w:rFonts w:cs="Times New Roman"/>
              </w:rPr>
              <w:t>表4-10    项目废气污染源监测计划表</w:t>
            </w:r>
          </w:p>
          <w:tbl>
            <w:tblPr>
              <w:tblStyle w:val="25"/>
              <w:tblW w:w="833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0"/>
              <w:gridCol w:w="1821"/>
              <w:gridCol w:w="1074"/>
              <w:gridCol w:w="2638"/>
              <w:gridCol w:w="11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 w:hRule="atLeast"/>
              </w:trPr>
              <w:tc>
                <w:tcPr>
                  <w:tcW w:w="1620" w:type="dxa"/>
                  <w:tcMar>
                    <w:top w:w="15" w:type="dxa"/>
                    <w:left w:w="15" w:type="dxa"/>
                    <w:right w:w="15" w:type="dxa"/>
                  </w:tcMar>
                  <w:vAlign w:val="center"/>
                </w:tcPr>
                <w:p>
                  <w:pPr>
                    <w:jc w:val="center"/>
                    <w:rPr>
                      <w:bCs/>
                    </w:rPr>
                  </w:pPr>
                  <w:r>
                    <w:rPr>
                      <w:bCs/>
                    </w:rPr>
                    <w:t>监测项目</w:t>
                  </w:r>
                </w:p>
              </w:tc>
              <w:tc>
                <w:tcPr>
                  <w:tcW w:w="1821" w:type="dxa"/>
                  <w:tcMar>
                    <w:top w:w="15" w:type="dxa"/>
                    <w:left w:w="15" w:type="dxa"/>
                    <w:right w:w="15" w:type="dxa"/>
                  </w:tcMar>
                  <w:vAlign w:val="center"/>
                </w:tcPr>
                <w:p>
                  <w:pPr>
                    <w:jc w:val="center"/>
                    <w:rPr>
                      <w:bCs/>
                    </w:rPr>
                  </w:pPr>
                  <w:r>
                    <w:rPr>
                      <w:bCs/>
                    </w:rPr>
                    <w:t>监测点</w:t>
                  </w:r>
                </w:p>
              </w:tc>
              <w:tc>
                <w:tcPr>
                  <w:tcW w:w="1074" w:type="dxa"/>
                  <w:tcMar>
                    <w:top w:w="15" w:type="dxa"/>
                    <w:left w:w="15" w:type="dxa"/>
                    <w:right w:w="15" w:type="dxa"/>
                  </w:tcMar>
                  <w:vAlign w:val="center"/>
                </w:tcPr>
                <w:p>
                  <w:pPr>
                    <w:jc w:val="center"/>
                    <w:rPr>
                      <w:bCs/>
                    </w:rPr>
                  </w:pPr>
                  <w:r>
                    <w:rPr>
                      <w:bCs/>
                    </w:rPr>
                    <w:t>监测频次</w:t>
                  </w:r>
                </w:p>
              </w:tc>
              <w:tc>
                <w:tcPr>
                  <w:tcW w:w="2638" w:type="dxa"/>
                  <w:tcMar>
                    <w:top w:w="15" w:type="dxa"/>
                    <w:left w:w="15" w:type="dxa"/>
                    <w:right w:w="15" w:type="dxa"/>
                  </w:tcMar>
                  <w:vAlign w:val="center"/>
                </w:tcPr>
                <w:p>
                  <w:pPr>
                    <w:jc w:val="center"/>
                    <w:rPr>
                      <w:bCs/>
                    </w:rPr>
                  </w:pPr>
                  <w:r>
                    <w:rPr>
                      <w:bCs/>
                    </w:rPr>
                    <w:t>执行标准</w:t>
                  </w:r>
                </w:p>
              </w:tc>
              <w:tc>
                <w:tcPr>
                  <w:tcW w:w="1184" w:type="dxa"/>
                  <w:tcMar>
                    <w:top w:w="15" w:type="dxa"/>
                    <w:left w:w="15" w:type="dxa"/>
                    <w:right w:w="15" w:type="dxa"/>
                  </w:tcMar>
                  <w:vAlign w:val="center"/>
                </w:tcPr>
                <w:p>
                  <w:pPr>
                    <w:jc w:val="center"/>
                    <w:rPr>
                      <w:bCs/>
                    </w:rPr>
                  </w:pPr>
                  <w:r>
                    <w:rPr>
                      <w:bCs/>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 w:hRule="atLeast"/>
              </w:trPr>
              <w:tc>
                <w:tcPr>
                  <w:tcW w:w="1620" w:type="dxa"/>
                  <w:tcMar>
                    <w:top w:w="15" w:type="dxa"/>
                    <w:left w:w="15" w:type="dxa"/>
                    <w:right w:w="15" w:type="dxa"/>
                  </w:tcMar>
                  <w:vAlign w:val="center"/>
                </w:tcPr>
                <w:p>
                  <w:pPr>
                    <w:jc w:val="center"/>
                  </w:pPr>
                  <w:r>
                    <w:t>厂界无组织排放颗粒物</w:t>
                  </w:r>
                </w:p>
              </w:tc>
              <w:tc>
                <w:tcPr>
                  <w:tcW w:w="1821" w:type="dxa"/>
                  <w:tcMar>
                    <w:top w:w="15" w:type="dxa"/>
                    <w:left w:w="15" w:type="dxa"/>
                    <w:right w:w="15" w:type="dxa"/>
                  </w:tcMar>
                  <w:vAlign w:val="center"/>
                </w:tcPr>
                <w:p>
                  <w:pPr>
                    <w:jc w:val="center"/>
                  </w:pPr>
                  <w:r>
                    <w:rPr>
                      <w:szCs w:val="21"/>
                    </w:rPr>
                    <w:t>厂界上风向1个点，下风向2-3个点</w:t>
                  </w:r>
                </w:p>
              </w:tc>
              <w:tc>
                <w:tcPr>
                  <w:tcW w:w="1074" w:type="dxa"/>
                  <w:tcMar>
                    <w:top w:w="15" w:type="dxa"/>
                    <w:left w:w="15" w:type="dxa"/>
                    <w:right w:w="15" w:type="dxa"/>
                  </w:tcMar>
                  <w:vAlign w:val="center"/>
                </w:tcPr>
                <w:p>
                  <w:pPr>
                    <w:jc w:val="center"/>
                  </w:pPr>
                  <w:r>
                    <w:t>每年一次</w:t>
                  </w:r>
                </w:p>
              </w:tc>
              <w:tc>
                <w:tcPr>
                  <w:tcW w:w="2638" w:type="dxa"/>
                  <w:tcMar>
                    <w:top w:w="15" w:type="dxa"/>
                    <w:left w:w="15" w:type="dxa"/>
                    <w:right w:w="15" w:type="dxa"/>
                  </w:tcMar>
                  <w:vAlign w:val="center"/>
                </w:tcPr>
                <w:p>
                  <w:pPr>
                    <w:jc w:val="center"/>
                  </w:pPr>
                  <w:r>
                    <w:t>《大气污染物综合排放标准》（GB16297-1996）表2中关于颗粒物的无组织排放监控限值要求</w:t>
                  </w:r>
                </w:p>
              </w:tc>
              <w:tc>
                <w:tcPr>
                  <w:tcW w:w="1184" w:type="dxa"/>
                  <w:tcMar>
                    <w:top w:w="15" w:type="dxa"/>
                    <w:left w:w="15" w:type="dxa"/>
                    <w:right w:w="15" w:type="dxa"/>
                  </w:tcMar>
                  <w:vAlign w:val="center"/>
                </w:tcPr>
                <w:p>
                  <w:pPr>
                    <w:jc w:val="center"/>
                  </w:pPr>
                  <w:r>
                    <w:t>委托有资质的监测单位进行监测</w:t>
                  </w:r>
                </w:p>
              </w:tc>
            </w:tr>
          </w:tbl>
          <w:p>
            <w:pPr>
              <w:adjustRightInd w:val="0"/>
              <w:snapToGrid w:val="0"/>
              <w:spacing w:line="360" w:lineRule="auto"/>
              <w:ind w:firstLine="480" w:firstLineChars="200"/>
              <w:rPr>
                <w:kern w:val="0"/>
                <w:sz w:val="24"/>
              </w:rPr>
            </w:pPr>
            <w:r>
              <w:rPr>
                <w:kern w:val="0"/>
                <w:sz w:val="24"/>
              </w:rPr>
              <w:t>五、污染物排放表格</w:t>
            </w:r>
          </w:p>
          <w:p>
            <w:pPr>
              <w:ind w:firstLine="422"/>
              <w:jc w:val="center"/>
              <w:rPr>
                <w:szCs w:val="21"/>
              </w:rPr>
            </w:pPr>
            <w:r>
              <w:rPr>
                <w:b/>
                <w:szCs w:val="21"/>
              </w:rPr>
              <w:t xml:space="preserve">表4-11    废气污染物信息表  </w:t>
            </w:r>
            <w:r>
              <w:rPr>
                <w:szCs w:val="21"/>
              </w:rPr>
              <w:t>单位：量t/a 浓度mg/m</w:t>
            </w:r>
            <w:r>
              <w:rPr>
                <w:szCs w:val="21"/>
                <w:vertAlign w:val="superscript"/>
              </w:rPr>
              <w:t>3</w:t>
            </w:r>
            <w:r>
              <w:rPr>
                <w:szCs w:val="21"/>
              </w:rPr>
              <w:t xml:space="preserve"> 速率kg/h</w:t>
            </w:r>
          </w:p>
          <w:tbl>
            <w:tblPr>
              <w:tblStyle w:val="25"/>
              <w:tblW w:w="83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
              <w:gridCol w:w="585"/>
              <w:gridCol w:w="547"/>
              <w:gridCol w:w="649"/>
              <w:gridCol w:w="763"/>
              <w:gridCol w:w="1144"/>
              <w:gridCol w:w="1006"/>
              <w:gridCol w:w="633"/>
              <w:gridCol w:w="2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序号</w:t>
                  </w:r>
                </w:p>
              </w:tc>
              <w:tc>
                <w:tcPr>
                  <w:tcW w:w="5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产污环节名称</w:t>
                  </w:r>
                </w:p>
              </w:tc>
              <w:tc>
                <w:tcPr>
                  <w:tcW w:w="5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污染物种类</w:t>
                  </w:r>
                </w:p>
              </w:tc>
              <w:tc>
                <w:tcPr>
                  <w:tcW w:w="14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污染物</w:t>
                  </w:r>
                </w:p>
              </w:tc>
              <w:tc>
                <w:tcPr>
                  <w:tcW w:w="114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污染治理设施名称</w:t>
                  </w:r>
                </w:p>
              </w:tc>
              <w:tc>
                <w:tcPr>
                  <w:tcW w:w="10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污染物排放浓度（速率）</w:t>
                  </w:r>
                </w:p>
              </w:tc>
              <w:tc>
                <w:tcPr>
                  <w:tcW w:w="63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污染物排放量</w:t>
                  </w:r>
                </w:p>
              </w:tc>
              <w:tc>
                <w:tcPr>
                  <w:tcW w:w="26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sz w:val="18"/>
                      <w:szCs w:val="18"/>
                    </w:rPr>
                  </w:pPr>
                </w:p>
              </w:tc>
              <w:tc>
                <w:tcPr>
                  <w:tcW w:w="5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sz w:val="18"/>
                      <w:szCs w:val="18"/>
                    </w:rPr>
                  </w:pPr>
                </w:p>
              </w:tc>
              <w:tc>
                <w:tcPr>
                  <w:tcW w:w="5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sz w:val="18"/>
                      <w:szCs w:val="18"/>
                    </w:rPr>
                  </w:pPr>
                </w:p>
              </w:tc>
              <w:tc>
                <w:tcPr>
                  <w:tcW w:w="6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产生量</w:t>
                  </w:r>
                </w:p>
              </w:tc>
              <w:tc>
                <w:tcPr>
                  <w:tcW w:w="7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浓度（速率）</w:t>
                  </w:r>
                </w:p>
              </w:tc>
              <w:tc>
                <w:tcPr>
                  <w:tcW w:w="114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sz w:val="18"/>
                      <w:szCs w:val="18"/>
                    </w:rPr>
                  </w:pPr>
                </w:p>
              </w:tc>
              <w:tc>
                <w:tcPr>
                  <w:tcW w:w="10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sz w:val="18"/>
                      <w:szCs w:val="18"/>
                    </w:rPr>
                  </w:pPr>
                </w:p>
              </w:tc>
              <w:tc>
                <w:tcPr>
                  <w:tcW w:w="6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sz w:val="18"/>
                      <w:szCs w:val="18"/>
                    </w:rPr>
                  </w:pPr>
                </w:p>
              </w:tc>
              <w:tc>
                <w:tcPr>
                  <w:tcW w:w="26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34" w:type="dxa"/>
                  <w:tcBorders>
                    <w:top w:val="single" w:color="auto" w:sz="4" w:space="0"/>
                    <w:left w:val="single" w:color="auto" w:sz="4" w:space="0"/>
                    <w:right w:val="single" w:color="auto" w:sz="4" w:space="0"/>
                  </w:tcBorders>
                  <w:shd w:val="clear" w:color="auto" w:fill="auto"/>
                  <w:vAlign w:val="center"/>
                </w:tcPr>
                <w:p>
                  <w:pPr>
                    <w:jc w:val="center"/>
                    <w:rPr>
                      <w:sz w:val="18"/>
                      <w:szCs w:val="18"/>
                    </w:rPr>
                  </w:pPr>
                  <w:r>
                    <w:rPr>
                      <w:sz w:val="18"/>
                      <w:szCs w:val="18"/>
                    </w:rPr>
                    <w:t>1</w:t>
                  </w:r>
                </w:p>
              </w:tc>
              <w:tc>
                <w:tcPr>
                  <w:tcW w:w="585" w:type="dxa"/>
                  <w:tcBorders>
                    <w:top w:val="single" w:color="auto" w:sz="4" w:space="0"/>
                    <w:left w:val="single" w:color="auto" w:sz="4" w:space="0"/>
                    <w:right w:val="single" w:color="auto" w:sz="4" w:space="0"/>
                  </w:tcBorders>
                  <w:shd w:val="clear" w:color="auto" w:fill="auto"/>
                  <w:vAlign w:val="center"/>
                </w:tcPr>
                <w:p>
                  <w:pPr>
                    <w:jc w:val="center"/>
                    <w:rPr>
                      <w:sz w:val="18"/>
                      <w:szCs w:val="18"/>
                    </w:rPr>
                  </w:pPr>
                  <w:r>
                    <w:rPr>
                      <w:sz w:val="18"/>
                      <w:szCs w:val="18"/>
                    </w:rPr>
                    <w:t>加工工序</w:t>
                  </w:r>
                </w:p>
              </w:tc>
              <w:tc>
                <w:tcPr>
                  <w:tcW w:w="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颗粒物</w:t>
                  </w:r>
                </w:p>
              </w:tc>
              <w:tc>
                <w:tcPr>
                  <w:tcW w:w="649" w:type="dxa"/>
                  <w:tcBorders>
                    <w:top w:val="single" w:color="auto" w:sz="4" w:space="0"/>
                    <w:left w:val="single" w:color="auto" w:sz="4" w:space="0"/>
                    <w:bottom w:val="single" w:color="auto" w:sz="4" w:space="0"/>
                    <w:right w:val="single" w:color="auto" w:sz="4" w:space="0"/>
                  </w:tcBorders>
                  <w:shd w:val="clear" w:color="auto" w:fill="auto"/>
                  <w:vAlign w:val="center"/>
                </w:tcPr>
                <w:p>
                  <w:pPr>
                    <w:ind w:left="-27"/>
                    <w:jc w:val="center"/>
                    <w:rPr>
                      <w:sz w:val="18"/>
                      <w:szCs w:val="18"/>
                    </w:rPr>
                  </w:pPr>
                  <w:r>
                    <w:rPr>
                      <w:sz w:val="18"/>
                      <w:szCs w:val="18"/>
                    </w:rPr>
                    <w:t>6</w:t>
                  </w:r>
                </w:p>
              </w:tc>
              <w:tc>
                <w:tcPr>
                  <w:tcW w:w="763" w:type="dxa"/>
                  <w:tcBorders>
                    <w:top w:val="single" w:color="auto" w:sz="4" w:space="0"/>
                    <w:left w:val="single" w:color="auto" w:sz="4" w:space="0"/>
                    <w:bottom w:val="single" w:color="auto" w:sz="4" w:space="0"/>
                    <w:right w:val="single" w:color="auto" w:sz="4" w:space="0"/>
                  </w:tcBorders>
                  <w:shd w:val="clear" w:color="auto" w:fill="auto"/>
                  <w:vAlign w:val="center"/>
                </w:tcPr>
                <w:p>
                  <w:pPr>
                    <w:ind w:left="-27"/>
                    <w:jc w:val="center"/>
                    <w:rPr>
                      <w:sz w:val="18"/>
                      <w:szCs w:val="18"/>
                    </w:rPr>
                  </w:pPr>
                  <w:r>
                    <w:rPr>
                      <w:sz w:val="18"/>
                      <w:szCs w:val="18"/>
                    </w:rPr>
                    <w:t>2.5</w:t>
                  </w:r>
                </w:p>
              </w:tc>
              <w:tc>
                <w:tcPr>
                  <w:tcW w:w="1144" w:type="dxa"/>
                  <w:tcBorders>
                    <w:top w:val="single" w:color="auto" w:sz="4" w:space="0"/>
                    <w:left w:val="single" w:color="auto" w:sz="4" w:space="0"/>
                    <w:right w:val="single" w:color="auto" w:sz="4" w:space="0"/>
                  </w:tcBorders>
                  <w:shd w:val="clear" w:color="auto" w:fill="auto"/>
                  <w:vAlign w:val="center"/>
                </w:tcPr>
                <w:p>
                  <w:pPr>
                    <w:jc w:val="center"/>
                    <w:rPr>
                      <w:sz w:val="18"/>
                      <w:szCs w:val="18"/>
                    </w:rPr>
                  </w:pPr>
                  <w:r>
                    <w:rPr>
                      <w:sz w:val="18"/>
                      <w:szCs w:val="18"/>
                    </w:rPr>
                    <w:t>喷雾降尘+湿式加工</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ind w:left="-27"/>
                    <w:jc w:val="center"/>
                    <w:rPr>
                      <w:sz w:val="18"/>
                      <w:szCs w:val="18"/>
                    </w:rPr>
                  </w:pPr>
                  <w:r>
                    <w:rPr>
                      <w:sz w:val="18"/>
                      <w:szCs w:val="18"/>
                    </w:rPr>
                    <w:t>0.25</w:t>
                  </w:r>
                </w:p>
              </w:tc>
              <w:tc>
                <w:tcPr>
                  <w:tcW w:w="633" w:type="dxa"/>
                  <w:tcBorders>
                    <w:top w:val="single" w:color="auto" w:sz="4" w:space="0"/>
                    <w:left w:val="single" w:color="auto" w:sz="4" w:space="0"/>
                    <w:bottom w:val="single" w:color="auto" w:sz="4" w:space="0"/>
                    <w:right w:val="single" w:color="auto" w:sz="4" w:space="0"/>
                  </w:tcBorders>
                  <w:shd w:val="clear" w:color="auto" w:fill="auto"/>
                  <w:vAlign w:val="center"/>
                </w:tcPr>
                <w:p>
                  <w:pPr>
                    <w:ind w:left="-27"/>
                    <w:jc w:val="center"/>
                    <w:rPr>
                      <w:sz w:val="18"/>
                      <w:szCs w:val="18"/>
                    </w:rPr>
                  </w:pPr>
                  <w:r>
                    <w:rPr>
                      <w:sz w:val="18"/>
                      <w:szCs w:val="18"/>
                    </w:rPr>
                    <w:t>0.6</w:t>
                  </w:r>
                </w:p>
              </w:tc>
              <w:tc>
                <w:tcPr>
                  <w:tcW w:w="2606" w:type="dxa"/>
                  <w:vMerge w:val="restart"/>
                  <w:tcBorders>
                    <w:top w:val="single" w:color="auto" w:sz="4" w:space="0"/>
                    <w:left w:val="single" w:color="auto" w:sz="4" w:space="0"/>
                    <w:right w:val="single" w:color="auto" w:sz="4" w:space="0"/>
                  </w:tcBorders>
                  <w:shd w:val="clear" w:color="auto" w:fill="auto"/>
                  <w:vAlign w:val="center"/>
                </w:tcPr>
                <w:p>
                  <w:pPr>
                    <w:jc w:val="center"/>
                    <w:rPr>
                      <w:sz w:val="18"/>
                      <w:szCs w:val="18"/>
                    </w:rPr>
                  </w:pPr>
                  <w:r>
                    <w:rPr>
                      <w:sz w:val="18"/>
                      <w:szCs w:val="18"/>
                    </w:rPr>
                    <w:t>《大气污染物综合排放标准》（GB16297-1996）表2中颗粒物无组织排放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2</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装卸工序</w:t>
                  </w:r>
                </w:p>
              </w:tc>
              <w:tc>
                <w:tcPr>
                  <w:tcW w:w="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颗粒物</w:t>
                  </w:r>
                </w:p>
              </w:tc>
              <w:tc>
                <w:tcPr>
                  <w:tcW w:w="6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1.434</w:t>
                  </w:r>
                </w:p>
              </w:tc>
              <w:tc>
                <w:tcPr>
                  <w:tcW w:w="7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0.6</w:t>
                  </w:r>
                </w:p>
              </w:tc>
              <w:tc>
                <w:tcPr>
                  <w:tcW w:w="11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堆场位于彩钢棚内，喷雾降尘</w:t>
                  </w:r>
                </w:p>
              </w:tc>
              <w:tc>
                <w:tcPr>
                  <w:tcW w:w="16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6"/>
                    <w:jc w:val="center"/>
                  </w:pPr>
                  <w:r>
                    <w:t>无组织：0.143t/a 0.067kg/h</w:t>
                  </w:r>
                </w:p>
              </w:tc>
              <w:tc>
                <w:tcPr>
                  <w:tcW w:w="2606" w:type="dxa"/>
                  <w:vMerge w:val="continue"/>
                  <w:tcBorders>
                    <w:left w:val="single" w:color="auto" w:sz="4" w:space="0"/>
                    <w:right w:val="single" w:color="auto" w:sz="4" w:space="0"/>
                  </w:tcBorders>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3</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堆场</w:t>
                  </w:r>
                </w:p>
              </w:tc>
              <w:tc>
                <w:tcPr>
                  <w:tcW w:w="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颗粒物</w:t>
                  </w:r>
                </w:p>
              </w:tc>
              <w:tc>
                <w:tcPr>
                  <w:tcW w:w="6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0.691</w:t>
                  </w:r>
                </w:p>
              </w:tc>
              <w:tc>
                <w:tcPr>
                  <w:tcW w:w="7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0.096</w:t>
                  </w:r>
                </w:p>
              </w:tc>
              <w:tc>
                <w:tcPr>
                  <w:tcW w:w="11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堆场位于彩钢棚内，喷雾降尘等</w:t>
                  </w:r>
                </w:p>
              </w:tc>
              <w:tc>
                <w:tcPr>
                  <w:tcW w:w="16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无组织：0.069t/a</w:t>
                  </w:r>
                </w:p>
                <w:p>
                  <w:pPr>
                    <w:pStyle w:val="6"/>
                  </w:pPr>
                  <w:r>
                    <w:t>0.01kg/h</w:t>
                  </w:r>
                </w:p>
              </w:tc>
              <w:tc>
                <w:tcPr>
                  <w:tcW w:w="2606" w:type="dxa"/>
                  <w:vMerge w:val="continue"/>
                  <w:tcBorders>
                    <w:left w:val="single" w:color="auto" w:sz="4" w:space="0"/>
                    <w:right w:val="single" w:color="auto" w:sz="4" w:space="0"/>
                  </w:tcBorders>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4</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道路</w:t>
                  </w:r>
                </w:p>
              </w:tc>
              <w:tc>
                <w:tcPr>
                  <w:tcW w:w="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颗粒物</w:t>
                  </w:r>
                </w:p>
              </w:tc>
              <w:tc>
                <w:tcPr>
                  <w:tcW w:w="6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0.022</w:t>
                  </w:r>
                </w:p>
              </w:tc>
              <w:tc>
                <w:tcPr>
                  <w:tcW w:w="7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0.028</w:t>
                  </w:r>
                </w:p>
              </w:tc>
              <w:tc>
                <w:tcPr>
                  <w:tcW w:w="11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道理硬化及喷雾降尘、车辆加盖帆布等</w:t>
                  </w:r>
                </w:p>
              </w:tc>
              <w:tc>
                <w:tcPr>
                  <w:tcW w:w="16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6"/>
                    <w:spacing w:before="0" w:after="0" w:line="240" w:lineRule="auto"/>
                    <w:jc w:val="center"/>
                  </w:pPr>
                  <w:r>
                    <w:t>无组织：0.0028kg/h</w:t>
                  </w:r>
                </w:p>
                <w:p>
                  <w:pPr>
                    <w:pStyle w:val="6"/>
                    <w:spacing w:before="0" w:after="0" w:line="240" w:lineRule="auto"/>
                    <w:jc w:val="center"/>
                  </w:pPr>
                  <w:r>
                    <w:t>0.0066t/a</w:t>
                  </w:r>
                </w:p>
              </w:tc>
              <w:tc>
                <w:tcPr>
                  <w:tcW w:w="2606" w:type="dxa"/>
                  <w:vMerge w:val="continue"/>
                  <w:tcBorders>
                    <w:left w:val="single" w:color="auto" w:sz="4" w:space="0"/>
                    <w:bottom w:val="single" w:color="auto" w:sz="4" w:space="0"/>
                    <w:right w:val="single" w:color="auto" w:sz="4" w:space="0"/>
                  </w:tcBorders>
                  <w:shd w:val="clear" w:color="auto" w:fill="auto"/>
                  <w:vAlign w:val="center"/>
                </w:tcPr>
                <w:p>
                  <w:pPr>
                    <w:jc w:val="center"/>
                    <w:rPr>
                      <w:sz w:val="18"/>
                      <w:szCs w:val="18"/>
                    </w:rPr>
                  </w:pPr>
                </w:p>
              </w:tc>
            </w:tr>
          </w:tbl>
          <w:p>
            <w:pPr>
              <w:pStyle w:val="71"/>
              <w:rPr>
                <w:rFonts w:cs="Times New Roman"/>
                <w:szCs w:val="20"/>
              </w:rPr>
            </w:pPr>
            <w:r>
              <w:rPr>
                <w:rFonts w:cs="Times New Roman"/>
              </w:rPr>
              <w:t>表4-12    大气污染治理设施信息表</w:t>
            </w:r>
          </w:p>
          <w:tbl>
            <w:tblPr>
              <w:tblStyle w:val="25"/>
              <w:tblW w:w="83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1581"/>
              <w:gridCol w:w="2368"/>
              <w:gridCol w:w="772"/>
              <w:gridCol w:w="772"/>
              <w:gridCol w:w="1213"/>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pPr>
                  <w:r>
                    <w:t>序号</w:t>
                  </w:r>
                </w:p>
              </w:tc>
              <w:tc>
                <w:tcPr>
                  <w:tcW w:w="158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pPr>
                  <w:r>
                    <w:t>污染治理设施名称</w:t>
                  </w:r>
                </w:p>
              </w:tc>
              <w:tc>
                <w:tcPr>
                  <w:tcW w:w="236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pPr>
                  <w:r>
                    <w:t>治理工艺</w:t>
                  </w:r>
                </w:p>
              </w:tc>
              <w:tc>
                <w:tcPr>
                  <w:tcW w:w="77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pPr>
                  <w:r>
                    <w:t>处理能力</w:t>
                  </w:r>
                </w:p>
              </w:tc>
              <w:tc>
                <w:tcPr>
                  <w:tcW w:w="77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pPr>
                  <w:r>
                    <w:t>收集效率</w:t>
                  </w:r>
                </w:p>
              </w:tc>
              <w:tc>
                <w:tcPr>
                  <w:tcW w:w="121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pPr>
                  <w:r>
                    <w:t>治理工艺去除率</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pPr>
                  <w:r>
                    <w:t>是否为可行技术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pPr>
                  <w:r>
                    <w:t>1</w:t>
                  </w:r>
                </w:p>
              </w:tc>
              <w:tc>
                <w:tcPr>
                  <w:tcW w:w="15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加工工序颗粒物处理措施</w:t>
                  </w:r>
                </w:p>
              </w:tc>
              <w:tc>
                <w:tcPr>
                  <w:tcW w:w="236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pPr>
                  <w:r>
                    <w:t>喷雾降尘+湿式加工</w:t>
                  </w:r>
                </w:p>
              </w:tc>
              <w:tc>
                <w:tcPr>
                  <w:tcW w:w="77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pPr>
                  <w:r>
                    <w:t>/</w:t>
                  </w:r>
                </w:p>
              </w:tc>
              <w:tc>
                <w:tcPr>
                  <w:tcW w:w="77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pPr>
                  <w:r>
                    <w:t>/</w:t>
                  </w:r>
                </w:p>
              </w:tc>
              <w:tc>
                <w:tcPr>
                  <w:tcW w:w="121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pPr>
                  <w:r>
                    <w:t>颗粒物：90%</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pPr>
                  <w: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pPr>
                  <w:r>
                    <w:t>2</w:t>
                  </w:r>
                </w:p>
              </w:tc>
              <w:tc>
                <w:tcPr>
                  <w:tcW w:w="15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装卸粉尘处理措施</w:t>
                  </w:r>
                </w:p>
              </w:tc>
              <w:tc>
                <w:tcPr>
                  <w:tcW w:w="23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堆场位于彩钢棚内，喷雾降尘</w:t>
                  </w:r>
                </w:p>
              </w:tc>
              <w:tc>
                <w:tcPr>
                  <w:tcW w:w="77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pPr>
                  <w:r>
                    <w:t>/</w:t>
                  </w:r>
                </w:p>
              </w:tc>
              <w:tc>
                <w:tcPr>
                  <w:tcW w:w="77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pPr>
                  <w:r>
                    <w:t>/</w:t>
                  </w:r>
                </w:p>
              </w:tc>
              <w:tc>
                <w:tcPr>
                  <w:tcW w:w="121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pPr>
                  <w:r>
                    <w:t>90%</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pPr>
                  <w: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pPr>
                  <w:r>
                    <w:t>3</w:t>
                  </w:r>
                </w:p>
              </w:tc>
              <w:tc>
                <w:tcPr>
                  <w:tcW w:w="15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堆场扬尘处理措施</w:t>
                  </w:r>
                </w:p>
              </w:tc>
              <w:tc>
                <w:tcPr>
                  <w:tcW w:w="23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堆场位于彩钢棚内，喷雾降尘等</w:t>
                  </w:r>
                </w:p>
              </w:tc>
              <w:tc>
                <w:tcPr>
                  <w:tcW w:w="77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pPr>
                  <w:r>
                    <w:t>/</w:t>
                  </w:r>
                </w:p>
              </w:tc>
              <w:tc>
                <w:tcPr>
                  <w:tcW w:w="77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pPr>
                  <w:r>
                    <w:t>/</w:t>
                  </w:r>
                </w:p>
              </w:tc>
              <w:tc>
                <w:tcPr>
                  <w:tcW w:w="121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pPr>
                  <w:r>
                    <w:t>90%</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pPr>
                  <w: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pPr>
                  <w:r>
                    <w:t>4</w:t>
                  </w:r>
                </w:p>
              </w:tc>
              <w:tc>
                <w:tcPr>
                  <w:tcW w:w="15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道路扬尘处理措施</w:t>
                  </w:r>
                </w:p>
              </w:tc>
              <w:tc>
                <w:tcPr>
                  <w:tcW w:w="23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道理硬化及喷雾降尘、车辆加盖帆布等</w:t>
                  </w:r>
                </w:p>
              </w:tc>
              <w:tc>
                <w:tcPr>
                  <w:tcW w:w="77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pPr>
                  <w:r>
                    <w:t>/</w:t>
                  </w:r>
                </w:p>
              </w:tc>
              <w:tc>
                <w:tcPr>
                  <w:tcW w:w="77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pPr>
                  <w:r>
                    <w:t>/</w:t>
                  </w:r>
                </w:p>
              </w:tc>
              <w:tc>
                <w:tcPr>
                  <w:tcW w:w="121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pPr>
                  <w:r>
                    <w:t>70%</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pPr>
                  <w:r>
                    <w:t>是</w:t>
                  </w:r>
                </w:p>
              </w:tc>
            </w:tr>
          </w:tbl>
          <w:p>
            <w:pPr>
              <w:pStyle w:val="71"/>
              <w:rPr>
                <w:rFonts w:cs="Times New Roman"/>
              </w:rPr>
            </w:pPr>
            <w:r>
              <w:rPr>
                <w:rFonts w:cs="Times New Roman"/>
              </w:rPr>
              <w:t>表4-13    大气排放口基本情况表</w:t>
            </w:r>
          </w:p>
          <w:tbl>
            <w:tblPr>
              <w:tblStyle w:val="25"/>
              <w:tblW w:w="83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1019"/>
              <w:gridCol w:w="1019"/>
              <w:gridCol w:w="1019"/>
              <w:gridCol w:w="692"/>
              <w:gridCol w:w="692"/>
              <w:gridCol w:w="1019"/>
              <w:gridCol w:w="1492"/>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rPr>
                      <w:sz w:val="18"/>
                      <w:szCs w:val="18"/>
                    </w:rPr>
                  </w:pPr>
                  <w:r>
                    <w:rPr>
                      <w:sz w:val="18"/>
                      <w:szCs w:val="18"/>
                    </w:rPr>
                    <w:t>序号</w:t>
                  </w:r>
                </w:p>
              </w:tc>
              <w:tc>
                <w:tcPr>
                  <w:tcW w:w="101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rPr>
                      <w:sz w:val="18"/>
                      <w:szCs w:val="18"/>
                    </w:rPr>
                  </w:pPr>
                  <w:r>
                    <w:rPr>
                      <w:sz w:val="18"/>
                      <w:szCs w:val="18"/>
                    </w:rPr>
                    <w:t>排放口编号</w:t>
                  </w:r>
                </w:p>
              </w:tc>
              <w:tc>
                <w:tcPr>
                  <w:tcW w:w="101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rPr>
                      <w:sz w:val="18"/>
                      <w:szCs w:val="18"/>
                    </w:rPr>
                  </w:pPr>
                  <w:r>
                    <w:rPr>
                      <w:sz w:val="18"/>
                      <w:szCs w:val="18"/>
                    </w:rPr>
                    <w:t>排放口名称</w:t>
                  </w:r>
                </w:p>
              </w:tc>
              <w:tc>
                <w:tcPr>
                  <w:tcW w:w="101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rPr>
                      <w:sz w:val="18"/>
                      <w:szCs w:val="18"/>
                    </w:rPr>
                  </w:pPr>
                  <w:r>
                    <w:rPr>
                      <w:sz w:val="18"/>
                      <w:szCs w:val="18"/>
                    </w:rPr>
                    <w:t>污染物种类</w:t>
                  </w:r>
                </w:p>
              </w:tc>
              <w:tc>
                <w:tcPr>
                  <w:tcW w:w="13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rPr>
                      <w:sz w:val="18"/>
                      <w:szCs w:val="18"/>
                    </w:rPr>
                  </w:pPr>
                  <w:r>
                    <w:rPr>
                      <w:sz w:val="18"/>
                      <w:szCs w:val="18"/>
                    </w:rPr>
                    <w:t>排放口基础坐标</w:t>
                  </w:r>
                </w:p>
              </w:tc>
              <w:tc>
                <w:tcPr>
                  <w:tcW w:w="101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rPr>
                      <w:sz w:val="18"/>
                      <w:szCs w:val="18"/>
                    </w:rPr>
                  </w:pPr>
                  <w:r>
                    <w:rPr>
                      <w:sz w:val="18"/>
                      <w:szCs w:val="18"/>
                    </w:rPr>
                    <w:t>排气筒高度</w:t>
                  </w:r>
                </w:p>
              </w:tc>
              <w:tc>
                <w:tcPr>
                  <w:tcW w:w="14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rPr>
                      <w:sz w:val="18"/>
                      <w:szCs w:val="18"/>
                    </w:rPr>
                  </w:pPr>
                  <w:r>
                    <w:rPr>
                      <w:sz w:val="18"/>
                      <w:szCs w:val="18"/>
                    </w:rPr>
                    <w:t>排气出口筒内径m</w:t>
                  </w:r>
                </w:p>
              </w:tc>
              <w:tc>
                <w:tcPr>
                  <w:tcW w:w="86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rPr>
                      <w:sz w:val="18"/>
                      <w:szCs w:val="18"/>
                    </w:rPr>
                  </w:pPr>
                  <w:r>
                    <w:rPr>
                      <w:sz w:val="18"/>
                      <w:szCs w:val="18"/>
                    </w:rPr>
                    <w:t>排气温度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sz w:val="18"/>
                      <w:szCs w:val="18"/>
                    </w:rPr>
                  </w:pPr>
                </w:p>
              </w:tc>
              <w:tc>
                <w:tcPr>
                  <w:tcW w:w="10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sz w:val="18"/>
                      <w:szCs w:val="18"/>
                    </w:rPr>
                  </w:pPr>
                </w:p>
              </w:tc>
              <w:tc>
                <w:tcPr>
                  <w:tcW w:w="10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sz w:val="18"/>
                      <w:szCs w:val="18"/>
                    </w:rPr>
                  </w:pPr>
                </w:p>
              </w:tc>
              <w:tc>
                <w:tcPr>
                  <w:tcW w:w="10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sz w:val="18"/>
                      <w:szCs w:val="18"/>
                    </w:rPr>
                  </w:pPr>
                </w:p>
              </w:tc>
              <w:tc>
                <w:tcPr>
                  <w:tcW w:w="69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rPr>
                      <w:sz w:val="18"/>
                      <w:szCs w:val="18"/>
                    </w:rPr>
                  </w:pPr>
                  <w:r>
                    <w:rPr>
                      <w:sz w:val="18"/>
                      <w:szCs w:val="18"/>
                    </w:rPr>
                    <w:t>经度</w:t>
                  </w:r>
                </w:p>
              </w:tc>
              <w:tc>
                <w:tcPr>
                  <w:tcW w:w="69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rPr>
                      <w:sz w:val="18"/>
                      <w:szCs w:val="18"/>
                    </w:rPr>
                  </w:pPr>
                  <w:r>
                    <w:rPr>
                      <w:sz w:val="18"/>
                      <w:szCs w:val="18"/>
                    </w:rPr>
                    <w:t>纬度</w:t>
                  </w:r>
                </w:p>
              </w:tc>
              <w:tc>
                <w:tcPr>
                  <w:tcW w:w="10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sz w:val="18"/>
                      <w:szCs w:val="18"/>
                    </w:rPr>
                  </w:pPr>
                </w:p>
              </w:tc>
              <w:tc>
                <w:tcPr>
                  <w:tcW w:w="14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sz w:val="18"/>
                      <w:szCs w:val="18"/>
                    </w:rPr>
                  </w:pPr>
                </w:p>
              </w:tc>
              <w:tc>
                <w:tcPr>
                  <w:tcW w:w="86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rPr>
                      <w:sz w:val="18"/>
                      <w:szCs w:val="18"/>
                    </w:rPr>
                  </w:pPr>
                  <w:r>
                    <w:rPr>
                      <w:sz w:val="18"/>
                      <w:szCs w:val="18"/>
                    </w:rPr>
                    <w:t>1</w:t>
                  </w:r>
                </w:p>
              </w:tc>
              <w:tc>
                <w:tcPr>
                  <w:tcW w:w="7815"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pStyle w:val="75"/>
                    <w:spacing w:before="24" w:after="24"/>
                    <w:rPr>
                      <w:sz w:val="18"/>
                      <w:szCs w:val="18"/>
                    </w:rPr>
                  </w:pPr>
                  <w:r>
                    <w:rPr>
                      <w:sz w:val="18"/>
                      <w:szCs w:val="18"/>
                    </w:rPr>
                    <w:t>项目未设置废气有组织排放口</w:t>
                  </w:r>
                </w:p>
              </w:tc>
            </w:tr>
          </w:tbl>
          <w:p>
            <w:pPr>
              <w:spacing w:line="360" w:lineRule="auto"/>
              <w:ind w:firstLine="482" w:firstLineChars="200"/>
              <w:rPr>
                <w:b/>
                <w:bCs/>
                <w:kern w:val="0"/>
                <w:sz w:val="24"/>
              </w:rPr>
            </w:pPr>
            <w:r>
              <w:rPr>
                <w:b/>
                <w:bCs/>
                <w:kern w:val="0"/>
                <w:sz w:val="24"/>
              </w:rPr>
              <w:t>4.2.3、声环境影响分析</w:t>
            </w:r>
          </w:p>
          <w:p>
            <w:pPr>
              <w:pStyle w:val="80"/>
            </w:pPr>
            <w:r>
              <w:t>1、噪声源强</w:t>
            </w:r>
          </w:p>
          <w:p>
            <w:pPr>
              <w:pStyle w:val="80"/>
            </w:pPr>
            <w:r>
              <w:t>本项目在营运期的噪声主要为机械设备运行噪声。本项目声源较多，在生产过程中，凡是运转的机械设备，都将不同程度地发出噪声。项目在生产加工区实行全封闭彩钢棚措施，针对高噪声设备实行半地埋式安装。在设计上选用技术先进的低噪声设备和对声源实施合理布设，按照工业设备安装的有关规范，采用减振降噪装置，选用低噪声设备，在设备运行时，加强设备的维修与日常保养，使之正常运转，治理后项目噪声源强在60~80dB(A)之间。</w:t>
            </w:r>
          </w:p>
          <w:p>
            <w:pPr>
              <w:pStyle w:val="71"/>
              <w:rPr>
                <w:rFonts w:cs="Times New Roman"/>
              </w:rPr>
            </w:pPr>
            <w:r>
              <w:rPr>
                <w:rFonts w:cs="Times New Roman"/>
              </w:rPr>
              <w:t>表4-14    噪声产生情况一览表</w:t>
            </w:r>
          </w:p>
          <w:tbl>
            <w:tblPr>
              <w:tblStyle w:val="25"/>
              <w:tblW w:w="83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071"/>
              <w:gridCol w:w="1615"/>
              <w:gridCol w:w="644"/>
              <w:gridCol w:w="2137"/>
              <w:gridCol w:w="2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4" w:type="dxa"/>
                  <w:shd w:val="clear" w:color="auto" w:fill="auto"/>
                  <w:vAlign w:val="center"/>
                </w:tcPr>
                <w:p>
                  <w:pPr>
                    <w:pStyle w:val="75"/>
                    <w:spacing w:before="24" w:after="24"/>
                  </w:pPr>
                  <w:r>
                    <w:t>编号</w:t>
                  </w:r>
                </w:p>
              </w:tc>
              <w:tc>
                <w:tcPr>
                  <w:tcW w:w="1071" w:type="dxa"/>
                  <w:shd w:val="clear" w:color="auto" w:fill="auto"/>
                  <w:vAlign w:val="center"/>
                </w:tcPr>
                <w:p>
                  <w:pPr>
                    <w:pStyle w:val="75"/>
                    <w:spacing w:before="24" w:after="24"/>
                  </w:pPr>
                  <w:r>
                    <w:t>产噪声源</w:t>
                  </w:r>
                </w:p>
              </w:tc>
              <w:tc>
                <w:tcPr>
                  <w:tcW w:w="1615" w:type="dxa"/>
                  <w:shd w:val="clear" w:color="auto" w:fill="auto"/>
                  <w:vAlign w:val="center"/>
                </w:tcPr>
                <w:p>
                  <w:pPr>
                    <w:pStyle w:val="75"/>
                    <w:spacing w:before="24" w:after="24"/>
                  </w:pPr>
                  <w:r>
                    <w:t>源强[dB（A）]</w:t>
                  </w:r>
                </w:p>
              </w:tc>
              <w:tc>
                <w:tcPr>
                  <w:tcW w:w="644" w:type="dxa"/>
                  <w:shd w:val="clear" w:color="auto" w:fill="auto"/>
                  <w:vAlign w:val="center"/>
                </w:tcPr>
                <w:p>
                  <w:pPr>
                    <w:pStyle w:val="75"/>
                    <w:spacing w:before="24" w:after="24"/>
                  </w:pPr>
                  <w:r>
                    <w:t>数量</w:t>
                  </w:r>
                </w:p>
              </w:tc>
              <w:tc>
                <w:tcPr>
                  <w:tcW w:w="2137" w:type="dxa"/>
                  <w:vAlign w:val="center"/>
                </w:tcPr>
                <w:p>
                  <w:pPr>
                    <w:adjustRightInd w:val="0"/>
                    <w:snapToGrid w:val="0"/>
                    <w:jc w:val="center"/>
                  </w:pPr>
                  <w:r>
                    <w:t>治理措施</w:t>
                  </w:r>
                </w:p>
              </w:tc>
              <w:tc>
                <w:tcPr>
                  <w:tcW w:w="2256" w:type="dxa"/>
                  <w:vAlign w:val="center"/>
                </w:tcPr>
                <w:p>
                  <w:pPr>
                    <w:pStyle w:val="75"/>
                    <w:spacing w:before="24" w:after="24"/>
                  </w:pPr>
                  <w:r>
                    <w:t>治理后源强[dB（A）]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4" w:type="dxa"/>
                  <w:shd w:val="clear" w:color="auto" w:fill="auto"/>
                  <w:vAlign w:val="center"/>
                </w:tcPr>
                <w:p>
                  <w:pPr>
                    <w:pStyle w:val="75"/>
                    <w:spacing w:before="24" w:after="24"/>
                  </w:pPr>
                  <w:r>
                    <w:t>1</w:t>
                  </w:r>
                </w:p>
              </w:tc>
              <w:tc>
                <w:tcPr>
                  <w:tcW w:w="1071" w:type="dxa"/>
                  <w:shd w:val="clear" w:color="auto" w:fill="auto"/>
                  <w:vAlign w:val="center"/>
                </w:tcPr>
                <w:p>
                  <w:pPr>
                    <w:pStyle w:val="75"/>
                    <w:spacing w:before="24" w:after="24"/>
                  </w:pPr>
                  <w:r>
                    <w:t>破碎机</w:t>
                  </w:r>
                </w:p>
              </w:tc>
              <w:tc>
                <w:tcPr>
                  <w:tcW w:w="1615" w:type="dxa"/>
                  <w:shd w:val="clear" w:color="auto" w:fill="auto"/>
                  <w:vAlign w:val="center"/>
                </w:tcPr>
                <w:p>
                  <w:pPr>
                    <w:pStyle w:val="75"/>
                    <w:spacing w:before="24" w:after="24"/>
                  </w:pPr>
                  <w:r>
                    <w:t>95</w:t>
                  </w:r>
                </w:p>
              </w:tc>
              <w:tc>
                <w:tcPr>
                  <w:tcW w:w="644" w:type="dxa"/>
                  <w:shd w:val="clear" w:color="auto" w:fill="auto"/>
                  <w:vAlign w:val="center"/>
                </w:tcPr>
                <w:p>
                  <w:pPr>
                    <w:pStyle w:val="75"/>
                    <w:spacing w:before="24" w:after="24"/>
                  </w:pPr>
                  <w:r>
                    <w:t>1台</w:t>
                  </w:r>
                </w:p>
              </w:tc>
              <w:tc>
                <w:tcPr>
                  <w:tcW w:w="2137" w:type="dxa"/>
                  <w:vMerge w:val="restart"/>
                  <w:vAlign w:val="center"/>
                </w:tcPr>
                <w:p>
                  <w:pPr>
                    <w:adjustRightInd w:val="0"/>
                    <w:snapToGrid w:val="0"/>
                    <w:jc w:val="center"/>
                  </w:pPr>
                  <w:r>
                    <w:t>隔声车间、减振装置</w:t>
                  </w:r>
                </w:p>
              </w:tc>
              <w:tc>
                <w:tcPr>
                  <w:tcW w:w="2256" w:type="dxa"/>
                </w:tcPr>
                <w:p>
                  <w:pPr>
                    <w:pStyle w:val="75"/>
                    <w:spacing w:before="24" w:after="24"/>
                  </w:pPr>
                  <w: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4" w:type="dxa"/>
                  <w:shd w:val="clear" w:color="auto" w:fill="auto"/>
                  <w:vAlign w:val="center"/>
                </w:tcPr>
                <w:p>
                  <w:pPr>
                    <w:pStyle w:val="75"/>
                    <w:spacing w:before="24" w:after="24"/>
                  </w:pPr>
                  <w:r>
                    <w:t>2</w:t>
                  </w:r>
                </w:p>
              </w:tc>
              <w:tc>
                <w:tcPr>
                  <w:tcW w:w="1071" w:type="dxa"/>
                  <w:shd w:val="clear" w:color="auto" w:fill="auto"/>
                  <w:vAlign w:val="center"/>
                </w:tcPr>
                <w:p>
                  <w:pPr>
                    <w:pStyle w:val="75"/>
                    <w:spacing w:before="24" w:after="24"/>
                  </w:pPr>
                  <w:r>
                    <w:t>振动筛</w:t>
                  </w:r>
                </w:p>
              </w:tc>
              <w:tc>
                <w:tcPr>
                  <w:tcW w:w="1615" w:type="dxa"/>
                  <w:shd w:val="clear" w:color="auto" w:fill="auto"/>
                  <w:vAlign w:val="center"/>
                </w:tcPr>
                <w:p>
                  <w:pPr>
                    <w:pStyle w:val="75"/>
                    <w:spacing w:before="24" w:after="24"/>
                  </w:pPr>
                  <w:r>
                    <w:t>85</w:t>
                  </w:r>
                </w:p>
              </w:tc>
              <w:tc>
                <w:tcPr>
                  <w:tcW w:w="644" w:type="dxa"/>
                  <w:shd w:val="clear" w:color="auto" w:fill="auto"/>
                  <w:vAlign w:val="center"/>
                </w:tcPr>
                <w:p>
                  <w:pPr>
                    <w:pStyle w:val="75"/>
                    <w:spacing w:before="24" w:after="24"/>
                  </w:pPr>
                  <w:r>
                    <w:t>1台</w:t>
                  </w:r>
                </w:p>
              </w:tc>
              <w:tc>
                <w:tcPr>
                  <w:tcW w:w="2137" w:type="dxa"/>
                  <w:vMerge w:val="continue"/>
                </w:tcPr>
                <w:p>
                  <w:pPr>
                    <w:pStyle w:val="75"/>
                    <w:spacing w:before="24" w:after="24"/>
                  </w:pPr>
                </w:p>
              </w:tc>
              <w:tc>
                <w:tcPr>
                  <w:tcW w:w="2256" w:type="dxa"/>
                </w:tcPr>
                <w:p>
                  <w:pPr>
                    <w:pStyle w:val="75"/>
                    <w:spacing w:before="24" w:after="24"/>
                  </w:pPr>
                  <w: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4" w:type="dxa"/>
                  <w:shd w:val="clear" w:color="auto" w:fill="auto"/>
                  <w:vAlign w:val="center"/>
                </w:tcPr>
                <w:p>
                  <w:pPr>
                    <w:pStyle w:val="75"/>
                    <w:spacing w:before="24" w:after="24"/>
                  </w:pPr>
                  <w:r>
                    <w:t>3</w:t>
                  </w:r>
                </w:p>
              </w:tc>
              <w:tc>
                <w:tcPr>
                  <w:tcW w:w="1071" w:type="dxa"/>
                  <w:shd w:val="clear" w:color="auto" w:fill="auto"/>
                  <w:vAlign w:val="center"/>
                </w:tcPr>
                <w:p>
                  <w:pPr>
                    <w:pStyle w:val="75"/>
                    <w:spacing w:before="24" w:after="24"/>
                  </w:pPr>
                  <w:r>
                    <w:t>输送带</w:t>
                  </w:r>
                </w:p>
              </w:tc>
              <w:tc>
                <w:tcPr>
                  <w:tcW w:w="1615" w:type="dxa"/>
                  <w:shd w:val="clear" w:color="auto" w:fill="auto"/>
                  <w:vAlign w:val="center"/>
                </w:tcPr>
                <w:p>
                  <w:pPr>
                    <w:pStyle w:val="75"/>
                    <w:spacing w:before="24" w:after="24"/>
                  </w:pPr>
                  <w:r>
                    <w:t>85</w:t>
                  </w:r>
                </w:p>
              </w:tc>
              <w:tc>
                <w:tcPr>
                  <w:tcW w:w="644" w:type="dxa"/>
                  <w:shd w:val="clear" w:color="auto" w:fill="auto"/>
                  <w:vAlign w:val="center"/>
                </w:tcPr>
                <w:p>
                  <w:pPr>
                    <w:pStyle w:val="75"/>
                    <w:spacing w:before="24" w:after="24"/>
                  </w:pPr>
                  <w:r>
                    <w:t>3条</w:t>
                  </w:r>
                </w:p>
              </w:tc>
              <w:tc>
                <w:tcPr>
                  <w:tcW w:w="2137" w:type="dxa"/>
                  <w:vMerge w:val="continue"/>
                </w:tcPr>
                <w:p>
                  <w:pPr>
                    <w:pStyle w:val="75"/>
                    <w:spacing w:before="24" w:after="24"/>
                  </w:pPr>
                </w:p>
              </w:tc>
              <w:tc>
                <w:tcPr>
                  <w:tcW w:w="2256" w:type="dxa"/>
                </w:tcPr>
                <w:p>
                  <w:pPr>
                    <w:pStyle w:val="75"/>
                    <w:spacing w:before="24" w:after="24"/>
                  </w:pPr>
                  <w: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4" w:type="dxa"/>
                  <w:shd w:val="clear" w:color="auto" w:fill="auto"/>
                  <w:vAlign w:val="center"/>
                </w:tcPr>
                <w:p>
                  <w:pPr>
                    <w:pStyle w:val="75"/>
                    <w:spacing w:before="24" w:after="24"/>
                  </w:pPr>
                  <w:r>
                    <w:t>4</w:t>
                  </w:r>
                </w:p>
              </w:tc>
              <w:tc>
                <w:tcPr>
                  <w:tcW w:w="1071" w:type="dxa"/>
                  <w:shd w:val="clear" w:color="auto" w:fill="auto"/>
                  <w:vAlign w:val="center"/>
                </w:tcPr>
                <w:p>
                  <w:pPr>
                    <w:pStyle w:val="75"/>
                    <w:spacing w:before="24" w:after="24"/>
                  </w:pPr>
                  <w:r>
                    <w:t>打砂机</w:t>
                  </w:r>
                </w:p>
              </w:tc>
              <w:tc>
                <w:tcPr>
                  <w:tcW w:w="1615" w:type="dxa"/>
                  <w:shd w:val="clear" w:color="auto" w:fill="auto"/>
                  <w:vAlign w:val="center"/>
                </w:tcPr>
                <w:p>
                  <w:pPr>
                    <w:pStyle w:val="75"/>
                    <w:spacing w:before="24" w:after="24"/>
                  </w:pPr>
                  <w:r>
                    <w:t>80</w:t>
                  </w:r>
                </w:p>
              </w:tc>
              <w:tc>
                <w:tcPr>
                  <w:tcW w:w="644" w:type="dxa"/>
                  <w:shd w:val="clear" w:color="auto" w:fill="auto"/>
                  <w:vAlign w:val="center"/>
                </w:tcPr>
                <w:p>
                  <w:pPr>
                    <w:pStyle w:val="75"/>
                    <w:spacing w:before="24" w:after="24"/>
                  </w:pPr>
                  <w:r>
                    <w:t>1台</w:t>
                  </w:r>
                </w:p>
              </w:tc>
              <w:tc>
                <w:tcPr>
                  <w:tcW w:w="2137" w:type="dxa"/>
                  <w:vMerge w:val="continue"/>
                </w:tcPr>
                <w:p>
                  <w:pPr>
                    <w:pStyle w:val="75"/>
                    <w:spacing w:before="24" w:after="24"/>
                  </w:pPr>
                </w:p>
              </w:tc>
              <w:tc>
                <w:tcPr>
                  <w:tcW w:w="2256" w:type="dxa"/>
                </w:tcPr>
                <w:p>
                  <w:pPr>
                    <w:pStyle w:val="75"/>
                    <w:spacing w:before="24" w:after="24"/>
                  </w:pPr>
                  <w: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4" w:type="dxa"/>
                  <w:shd w:val="clear" w:color="auto" w:fill="auto"/>
                  <w:vAlign w:val="center"/>
                </w:tcPr>
                <w:p>
                  <w:pPr>
                    <w:pStyle w:val="75"/>
                    <w:spacing w:before="24" w:after="24"/>
                  </w:pPr>
                  <w:r>
                    <w:t>5</w:t>
                  </w:r>
                </w:p>
              </w:tc>
              <w:tc>
                <w:tcPr>
                  <w:tcW w:w="1071" w:type="dxa"/>
                  <w:shd w:val="clear" w:color="auto" w:fill="auto"/>
                  <w:vAlign w:val="center"/>
                </w:tcPr>
                <w:p>
                  <w:pPr>
                    <w:pStyle w:val="75"/>
                    <w:spacing w:before="24" w:after="24"/>
                  </w:pPr>
                  <w:r>
                    <w:t>运输车辆</w:t>
                  </w:r>
                </w:p>
              </w:tc>
              <w:tc>
                <w:tcPr>
                  <w:tcW w:w="1615" w:type="dxa"/>
                  <w:shd w:val="clear" w:color="auto" w:fill="auto"/>
                  <w:vAlign w:val="center"/>
                </w:tcPr>
                <w:p>
                  <w:pPr>
                    <w:pStyle w:val="75"/>
                    <w:spacing w:before="24" w:after="24"/>
                  </w:pPr>
                  <w:r>
                    <w:t>75</w:t>
                  </w:r>
                </w:p>
              </w:tc>
              <w:tc>
                <w:tcPr>
                  <w:tcW w:w="644" w:type="dxa"/>
                  <w:shd w:val="clear" w:color="auto" w:fill="auto"/>
                  <w:vAlign w:val="center"/>
                </w:tcPr>
                <w:p>
                  <w:pPr>
                    <w:pStyle w:val="75"/>
                    <w:spacing w:before="24" w:after="24"/>
                  </w:pPr>
                  <w:r>
                    <w:t>5辆</w:t>
                  </w:r>
                </w:p>
              </w:tc>
              <w:tc>
                <w:tcPr>
                  <w:tcW w:w="2137" w:type="dxa"/>
                </w:tcPr>
                <w:p>
                  <w:pPr>
                    <w:pStyle w:val="75"/>
                    <w:spacing w:before="24" w:after="24"/>
                  </w:pPr>
                  <w:r>
                    <w:t>减速慢行，禁止鸣笛</w:t>
                  </w:r>
                </w:p>
              </w:tc>
              <w:tc>
                <w:tcPr>
                  <w:tcW w:w="2256" w:type="dxa"/>
                </w:tcPr>
                <w:p>
                  <w:pPr>
                    <w:pStyle w:val="75"/>
                    <w:spacing w:before="24" w:after="24"/>
                  </w:pPr>
                  <w:r>
                    <w:t>65</w:t>
                  </w:r>
                </w:p>
              </w:tc>
            </w:tr>
          </w:tbl>
          <w:p>
            <w:pPr>
              <w:pStyle w:val="80"/>
            </w:pPr>
            <w:r>
              <w:t>2、预测模式</w:t>
            </w:r>
          </w:p>
          <w:p>
            <w:pPr>
              <w:pStyle w:val="80"/>
            </w:pPr>
            <w:r>
              <w:t>根据本项目主要高噪声设备的分布状况和等效室外源强，计算出各声源对厂界的噪声贡献值，然后采用噪声叠加模式进行预测，公式如下：</w:t>
            </w:r>
          </w:p>
          <w:p>
            <w:pPr>
              <w:pStyle w:val="80"/>
            </w:pPr>
            <w:r>
              <w:rPr>
                <w:rFonts w:hint="eastAsia" w:ascii="宋体" w:hAnsi="宋体" w:cs="宋体"/>
              </w:rPr>
              <w:t>①</w:t>
            </w:r>
            <w:r>
              <w:t>室内声源等效室外声源声功率级计算方法</w:t>
            </w:r>
          </w:p>
          <w:p>
            <w:pPr>
              <w:pStyle w:val="80"/>
            </w:pPr>
            <w:r>
              <w:t>a.计算出单个室内靠近围护结构处的倍频带声压级：</w:t>
            </w:r>
          </w:p>
          <w:p>
            <w:pPr>
              <w:pStyle w:val="80"/>
              <w:ind w:firstLine="0" w:firstLineChars="0"/>
              <w:jc w:val="center"/>
            </w:pPr>
            <w:r>
              <w:drawing>
                <wp:inline distT="0" distB="0" distL="0" distR="0">
                  <wp:extent cx="2372360" cy="5518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372360" cy="551815"/>
                          </a:xfrm>
                          <a:prstGeom prst="rect">
                            <a:avLst/>
                          </a:prstGeom>
                          <a:noFill/>
                          <a:ln>
                            <a:noFill/>
                          </a:ln>
                        </pic:spPr>
                      </pic:pic>
                    </a:graphicData>
                  </a:graphic>
                </wp:inline>
              </w:drawing>
            </w:r>
          </w:p>
          <w:p>
            <w:pPr>
              <w:pStyle w:val="80"/>
            </w:pPr>
            <w:r>
              <w:t>式中：</w:t>
            </w:r>
          </w:p>
          <w:p>
            <w:pPr>
              <w:pStyle w:val="80"/>
            </w:pPr>
            <w:r>
              <w:t>Q——指向性因数；通常对无指向性声源，当声源放在房间中心时，Q=1；当放在一面墙的中心时，Q=2；当放在两面墙夹角处时，Q=4；当放在三面墙夹角处时，Q=8。</w:t>
            </w:r>
          </w:p>
          <w:p>
            <w:pPr>
              <w:pStyle w:val="80"/>
            </w:pPr>
            <w:r>
              <w:t>R——房间常数；R=Sα/(1-α)，S为房间内表面面积，m</w:t>
            </w:r>
            <w:r>
              <w:rPr>
                <w:vertAlign w:val="superscript"/>
              </w:rPr>
              <w:t>2</w:t>
            </w:r>
            <w:r>
              <w:t>；α为平均吸声系数。</w:t>
            </w:r>
          </w:p>
          <w:p>
            <w:pPr>
              <w:pStyle w:val="80"/>
            </w:pPr>
            <w:r>
              <w:t>r——声源到靠近围护结构某点处的距离，m。</w:t>
            </w:r>
          </w:p>
          <w:p>
            <w:pPr>
              <w:pStyle w:val="80"/>
            </w:pPr>
            <w:r>
              <w:t>b. 计算出所有室内声源在围护结构处产生的i倍频带叠加声压级：</w:t>
            </w:r>
          </w:p>
          <w:p>
            <w:pPr>
              <w:pStyle w:val="80"/>
              <w:ind w:firstLine="0" w:firstLineChars="0"/>
              <w:jc w:val="center"/>
            </w:pPr>
            <w:r>
              <w:drawing>
                <wp:inline distT="0" distB="0" distL="0" distR="0">
                  <wp:extent cx="2259965" cy="58674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259965" cy="586740"/>
                          </a:xfrm>
                          <a:prstGeom prst="rect">
                            <a:avLst/>
                          </a:prstGeom>
                          <a:noFill/>
                          <a:ln>
                            <a:noFill/>
                          </a:ln>
                        </pic:spPr>
                      </pic:pic>
                    </a:graphicData>
                  </a:graphic>
                </wp:inline>
              </w:drawing>
            </w:r>
          </w:p>
          <w:p>
            <w:pPr>
              <w:pStyle w:val="80"/>
            </w:pPr>
            <w:r>
              <w:t>式中：</w:t>
            </w:r>
          </w:p>
          <w:p>
            <w:pPr>
              <w:pStyle w:val="80"/>
            </w:pPr>
            <w:r>
              <w:t>L</w:t>
            </w:r>
            <w:r>
              <w:rPr>
                <w:vertAlign w:val="subscript"/>
              </w:rPr>
              <w:t>P1i</w:t>
            </w:r>
            <w:r>
              <w:t>(T)——靠近围护结构处室内 N个声源i倍频带的叠加声压级，dB；</w:t>
            </w:r>
          </w:p>
          <w:p>
            <w:pPr>
              <w:pStyle w:val="80"/>
            </w:pPr>
            <w:r>
              <w:t>L</w:t>
            </w:r>
            <w:r>
              <w:rPr>
                <w:vertAlign w:val="subscript"/>
              </w:rPr>
              <w:t>P1ij</w:t>
            </w:r>
            <w:r>
              <w:t>——室内 j声源i倍频带的声压级，dB；</w:t>
            </w:r>
          </w:p>
          <w:p>
            <w:pPr>
              <w:pStyle w:val="80"/>
            </w:pPr>
            <w:r>
              <w:t>N——室内声源总数。</w:t>
            </w:r>
          </w:p>
          <w:p>
            <w:pPr>
              <w:pStyle w:val="80"/>
            </w:pPr>
            <w:r>
              <w:t>c. 在室内近似为扩散声场时，按公式计算出靠近室外围护结构处的声压级：</w:t>
            </w:r>
          </w:p>
          <w:p>
            <w:pPr>
              <w:pStyle w:val="80"/>
              <w:ind w:firstLine="0" w:firstLineChars="0"/>
              <w:jc w:val="center"/>
            </w:pPr>
            <w:r>
              <w:drawing>
                <wp:inline distT="0" distB="0" distL="0" distR="0">
                  <wp:extent cx="2242820" cy="27622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242820" cy="276225"/>
                          </a:xfrm>
                          <a:prstGeom prst="rect">
                            <a:avLst/>
                          </a:prstGeom>
                          <a:noFill/>
                          <a:ln>
                            <a:noFill/>
                          </a:ln>
                        </pic:spPr>
                      </pic:pic>
                    </a:graphicData>
                  </a:graphic>
                </wp:inline>
              </w:drawing>
            </w:r>
          </w:p>
          <w:p>
            <w:pPr>
              <w:pStyle w:val="80"/>
            </w:pPr>
            <w:r>
              <w:t>式中：</w:t>
            </w:r>
          </w:p>
          <w:p>
            <w:pPr>
              <w:pStyle w:val="80"/>
            </w:pPr>
            <w:r>
              <w:t>L</w:t>
            </w:r>
            <w:r>
              <w:rPr>
                <w:vertAlign w:val="subscript"/>
              </w:rPr>
              <w:t>P2i</w:t>
            </w:r>
            <w:r>
              <w:t>(T)——靠近围护结构处室外 N个声源i倍频带的叠加声压级，dB；</w:t>
            </w:r>
          </w:p>
          <w:p>
            <w:pPr>
              <w:pStyle w:val="80"/>
            </w:pPr>
            <w:r>
              <w:t>T</w:t>
            </w:r>
            <w:r>
              <w:rPr>
                <w:vertAlign w:val="subscript"/>
              </w:rPr>
              <w:t>Li</w:t>
            </w:r>
            <w:r>
              <w:t>——围护结构i倍频带的隔声量，dB。</w:t>
            </w:r>
          </w:p>
          <w:p>
            <w:pPr>
              <w:pStyle w:val="80"/>
            </w:pPr>
            <w:r>
              <w:t>d. 将室外声源的声压级和透过面积换算成等效的室外声源：</w:t>
            </w:r>
          </w:p>
          <w:p>
            <w:pPr>
              <w:pStyle w:val="80"/>
            </w:pPr>
            <w:r>
              <w:drawing>
                <wp:inline distT="0" distB="0" distL="0" distR="0">
                  <wp:extent cx="1794510" cy="27622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794510" cy="276225"/>
                          </a:xfrm>
                          <a:prstGeom prst="rect">
                            <a:avLst/>
                          </a:prstGeom>
                          <a:noFill/>
                          <a:ln>
                            <a:noFill/>
                          </a:ln>
                        </pic:spPr>
                      </pic:pic>
                    </a:graphicData>
                  </a:graphic>
                </wp:inline>
              </w:drawing>
            </w:r>
          </w:p>
          <w:p>
            <w:pPr>
              <w:pStyle w:val="80"/>
            </w:pPr>
            <w:r>
              <w:t>式中：L</w:t>
            </w:r>
            <w:r>
              <w:rPr>
                <w:vertAlign w:val="subscript"/>
              </w:rPr>
              <w:t>W</w:t>
            </w:r>
            <w:r>
              <w:t>——等效室外声源的倍频带声功率级，dB。</w:t>
            </w:r>
          </w:p>
          <w:p>
            <w:pPr>
              <w:pStyle w:val="80"/>
            </w:pPr>
            <w:r>
              <w:t>S——透声面积，m</w:t>
            </w:r>
            <w:r>
              <w:rPr>
                <w:vertAlign w:val="superscript"/>
              </w:rPr>
              <w:t>2</w:t>
            </w:r>
            <w:r>
              <w:t>。</w:t>
            </w:r>
          </w:p>
          <w:p>
            <w:pPr>
              <w:pStyle w:val="80"/>
            </w:pPr>
            <w:r>
              <w:rPr>
                <w:rFonts w:hint="eastAsia" w:ascii="宋体" w:hAnsi="宋体" w:cs="宋体"/>
              </w:rPr>
              <w:t>②</w:t>
            </w:r>
            <w:r>
              <w:t>单个室外声源在预测点的声级计算</w:t>
            </w:r>
          </w:p>
          <w:p>
            <w:pPr>
              <w:pStyle w:val="80"/>
            </w:pPr>
            <w:r>
              <w:t>预测模式：</w:t>
            </w:r>
          </w:p>
          <w:p>
            <w:pPr>
              <w:pStyle w:val="80"/>
              <w:ind w:firstLine="0" w:firstLineChars="0"/>
              <w:jc w:val="center"/>
            </w:pPr>
            <w:r>
              <w:drawing>
                <wp:inline distT="0" distB="0" distL="0" distR="0">
                  <wp:extent cx="1751330" cy="27622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751330" cy="276225"/>
                          </a:xfrm>
                          <a:prstGeom prst="rect">
                            <a:avLst/>
                          </a:prstGeom>
                          <a:noFill/>
                          <a:ln>
                            <a:noFill/>
                          </a:ln>
                        </pic:spPr>
                      </pic:pic>
                    </a:graphicData>
                  </a:graphic>
                </wp:inline>
              </w:drawing>
            </w:r>
          </w:p>
          <w:p>
            <w:pPr>
              <w:pStyle w:val="80"/>
              <w:ind w:firstLine="0" w:firstLineChars="0"/>
              <w:jc w:val="center"/>
            </w:pPr>
            <w:r>
              <w:drawing>
                <wp:inline distT="0" distB="0" distL="0" distR="0">
                  <wp:extent cx="2466975" cy="293370"/>
                  <wp:effectExtent l="0" t="0" r="952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466975" cy="293370"/>
                          </a:xfrm>
                          <a:prstGeom prst="rect">
                            <a:avLst/>
                          </a:prstGeom>
                          <a:noFill/>
                          <a:ln>
                            <a:noFill/>
                          </a:ln>
                        </pic:spPr>
                      </pic:pic>
                    </a:graphicData>
                  </a:graphic>
                </wp:inline>
              </w:drawing>
            </w:r>
          </w:p>
          <w:p>
            <w:pPr>
              <w:pStyle w:val="80"/>
            </w:pPr>
            <w:r>
              <w:t>式中：L</w:t>
            </w:r>
            <w:r>
              <w:rPr>
                <w:vertAlign w:val="subscript"/>
              </w:rPr>
              <w:t>W</w:t>
            </w:r>
            <w:r>
              <w:t>——倍频带声功率级，dB；</w:t>
            </w:r>
          </w:p>
          <w:p>
            <w:pPr>
              <w:pStyle w:val="80"/>
            </w:pPr>
            <w:r>
              <w:t>D</w:t>
            </w:r>
            <w:r>
              <w:rPr>
                <w:vertAlign w:val="subscript"/>
              </w:rPr>
              <w:t>C</w:t>
            </w:r>
            <w:r>
              <w:t>——指向性校正，dB；它描述点声源的等效连续声压级与产生声功率级LW的全向点声源在规定方向的级的偏差程度。指向性校正等于点声源的指向性指数DI加上计到小于4π球面度（sr）立体角内的声传播指数DΩ。对辐射到自由空间的全向点声源，Dc=0dB。</w:t>
            </w:r>
          </w:p>
          <w:p>
            <w:pPr>
              <w:pStyle w:val="80"/>
            </w:pPr>
            <w:r>
              <w:t>A——倍频带衰减，dB；</w:t>
            </w:r>
          </w:p>
          <w:p>
            <w:pPr>
              <w:pStyle w:val="80"/>
            </w:pPr>
            <w:r>
              <w:t>A</w:t>
            </w:r>
            <w:r>
              <w:rPr>
                <w:vertAlign w:val="subscript"/>
              </w:rPr>
              <w:t>div</w:t>
            </w:r>
            <w:r>
              <w:t>——几何发散引起的倍频带衰减，dB；</w:t>
            </w:r>
          </w:p>
          <w:p>
            <w:pPr>
              <w:pStyle w:val="80"/>
            </w:pPr>
            <w:r>
              <w:t>A</w:t>
            </w:r>
            <w:r>
              <w:rPr>
                <w:vertAlign w:val="subscript"/>
              </w:rPr>
              <w:t>atm</w:t>
            </w:r>
            <w:r>
              <w:t>——大气吸收引起的倍频带衰减，dB；</w:t>
            </w:r>
          </w:p>
          <w:p>
            <w:pPr>
              <w:pStyle w:val="80"/>
            </w:pPr>
            <w:r>
              <w:t>A</w:t>
            </w:r>
            <w:r>
              <w:rPr>
                <w:vertAlign w:val="subscript"/>
              </w:rPr>
              <w:t>gr</w:t>
            </w:r>
            <w:r>
              <w:t>——地面效应引起的倍频带衰减，dB；</w:t>
            </w:r>
          </w:p>
          <w:p>
            <w:pPr>
              <w:pStyle w:val="80"/>
            </w:pPr>
            <w:r>
              <w:t>A</w:t>
            </w:r>
            <w:r>
              <w:rPr>
                <w:vertAlign w:val="subscript"/>
              </w:rPr>
              <w:t>bar</w:t>
            </w:r>
            <w:r>
              <w:t>——声屏障引起的倍频带衰减，dB；</w:t>
            </w:r>
          </w:p>
          <w:p>
            <w:pPr>
              <w:pStyle w:val="80"/>
            </w:pPr>
            <w:r>
              <w:t>A</w:t>
            </w:r>
            <w:r>
              <w:rPr>
                <w:vertAlign w:val="subscript"/>
              </w:rPr>
              <w:t>misc</w:t>
            </w:r>
            <w:r>
              <w:t>——其他多方面效应引起的倍频带衰减，dB。</w:t>
            </w:r>
          </w:p>
          <w:p>
            <w:pPr>
              <w:pStyle w:val="80"/>
            </w:pPr>
            <w:r>
              <w:rPr>
                <w:rFonts w:hint="eastAsia" w:ascii="宋体" w:hAnsi="宋体" w:cs="宋体"/>
              </w:rPr>
              <w:t>③</w:t>
            </w:r>
            <w:r>
              <w:t>对两个以上多个声源同时存在时，其预测点贡献值总声压级计算</w:t>
            </w:r>
          </w:p>
          <w:p>
            <w:pPr>
              <w:pStyle w:val="80"/>
            </w:pPr>
            <w:r>
              <w:t>设第i个室外声源在预测点产生的A声级为L</w:t>
            </w:r>
            <w:r>
              <w:rPr>
                <w:vertAlign w:val="subscript"/>
              </w:rPr>
              <w:t>Ai</w:t>
            </w:r>
            <w:r>
              <w:t>，在T时间内该声源工作时间为t</w:t>
            </w:r>
            <w:r>
              <w:rPr>
                <w:vertAlign w:val="subscript"/>
              </w:rPr>
              <w:t>i</w:t>
            </w:r>
            <w:r>
              <w:t>；第j个等效室外声源在预测点产生的A声级为L</w:t>
            </w:r>
            <w:r>
              <w:rPr>
                <w:vertAlign w:val="subscript"/>
              </w:rPr>
              <w:t>Aj</w:t>
            </w:r>
            <w:r>
              <w:t>，在T时间内该声源工作时间为t</w:t>
            </w:r>
            <w:r>
              <w:rPr>
                <w:vertAlign w:val="subscript"/>
              </w:rPr>
              <w:t>j</w:t>
            </w:r>
            <w:r>
              <w:t>，则节能工程声源对预测点产生的贡献值（Leqg）为：</w:t>
            </w:r>
          </w:p>
          <w:p>
            <w:pPr>
              <w:pStyle w:val="80"/>
              <w:ind w:firstLine="0" w:firstLineChars="0"/>
              <w:jc w:val="center"/>
            </w:pPr>
            <w:r>
              <w:drawing>
                <wp:inline distT="0" distB="0" distL="0" distR="0">
                  <wp:extent cx="3174365" cy="58674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174365" cy="586740"/>
                          </a:xfrm>
                          <a:prstGeom prst="rect">
                            <a:avLst/>
                          </a:prstGeom>
                          <a:noFill/>
                          <a:ln>
                            <a:noFill/>
                          </a:ln>
                        </pic:spPr>
                      </pic:pic>
                    </a:graphicData>
                  </a:graphic>
                </wp:inline>
              </w:drawing>
            </w:r>
          </w:p>
          <w:p>
            <w:pPr>
              <w:pStyle w:val="80"/>
            </w:pPr>
            <w:r>
              <w:t>式中：ti——在T时间内i声源工作时间，s；</w:t>
            </w:r>
          </w:p>
          <w:p>
            <w:pPr>
              <w:pStyle w:val="80"/>
            </w:pPr>
            <w:r>
              <w:t>tj——在T时间内j声源工作时间，s；</w:t>
            </w:r>
          </w:p>
          <w:p>
            <w:pPr>
              <w:pStyle w:val="80"/>
            </w:pPr>
            <w:r>
              <w:t>T——用于计算等效声级的时间，s；</w:t>
            </w:r>
          </w:p>
          <w:p>
            <w:pPr>
              <w:pStyle w:val="80"/>
            </w:pPr>
            <w:r>
              <w:t>N——室外声源个数；</w:t>
            </w:r>
          </w:p>
          <w:p>
            <w:pPr>
              <w:pStyle w:val="80"/>
            </w:pPr>
            <w:r>
              <w:t>M——等效室外声源个数。</w:t>
            </w:r>
          </w:p>
          <w:p>
            <w:pPr>
              <w:pStyle w:val="80"/>
            </w:pPr>
            <w:r>
              <w:t>预测点的噪声预测值为各噪声源对预测点的等效声级贡献值与背景值的叠加，叠加公式如下：</w:t>
            </w:r>
          </w:p>
          <w:p>
            <w:pPr>
              <w:pStyle w:val="80"/>
              <w:ind w:firstLine="0" w:firstLineChars="0"/>
              <w:jc w:val="center"/>
            </w:pPr>
            <w:r>
              <w:drawing>
                <wp:inline distT="0" distB="0" distL="0" distR="0">
                  <wp:extent cx="2362200" cy="30353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2385539" cy="307121"/>
                          </a:xfrm>
                          <a:prstGeom prst="rect">
                            <a:avLst/>
                          </a:prstGeom>
                          <a:noFill/>
                          <a:ln>
                            <a:noFill/>
                          </a:ln>
                        </pic:spPr>
                      </pic:pic>
                    </a:graphicData>
                  </a:graphic>
                </wp:inline>
              </w:drawing>
            </w:r>
          </w:p>
          <w:p>
            <w:pPr>
              <w:pStyle w:val="80"/>
            </w:pPr>
            <w:r>
              <w:t>式中：L</w:t>
            </w:r>
            <w:r>
              <w:rPr>
                <w:vertAlign w:val="subscript"/>
              </w:rPr>
              <w:t>eq</w:t>
            </w:r>
            <w:r>
              <w:t>——预测点的声压级，dB(A)；</w:t>
            </w:r>
          </w:p>
          <w:p>
            <w:pPr>
              <w:pStyle w:val="80"/>
            </w:pPr>
            <w:r>
              <w:t>L</w:t>
            </w:r>
            <w:r>
              <w:rPr>
                <w:vertAlign w:val="subscript"/>
              </w:rPr>
              <w:t>eqg</w:t>
            </w:r>
            <w:r>
              <w:t>——建设项目声源在预测点的等效声级贡献值，dB(A)；</w:t>
            </w:r>
          </w:p>
          <w:p>
            <w:pPr>
              <w:pStyle w:val="80"/>
            </w:pPr>
            <w:r>
              <w:t>L</w:t>
            </w:r>
            <w:r>
              <w:rPr>
                <w:vertAlign w:val="subscript"/>
              </w:rPr>
              <w:t>epj</w:t>
            </w:r>
            <w:r>
              <w:t>——预测点的背景值，dB(A)。</w:t>
            </w:r>
          </w:p>
          <w:p>
            <w:pPr>
              <w:pStyle w:val="80"/>
            </w:pPr>
            <w:r>
              <w:rPr>
                <w:rFonts w:hint="eastAsia" w:ascii="宋体" w:hAnsi="宋体" w:cs="宋体"/>
              </w:rPr>
              <w:t>④</w:t>
            </w:r>
            <w:r>
              <w:t>点声源衰减：</w:t>
            </w:r>
            <w:r>
              <w:drawing>
                <wp:inline distT="0" distB="0" distL="0" distR="0">
                  <wp:extent cx="948690" cy="431165"/>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948690" cy="431165"/>
                          </a:xfrm>
                          <a:prstGeom prst="rect">
                            <a:avLst/>
                          </a:prstGeom>
                          <a:noFill/>
                          <a:ln>
                            <a:noFill/>
                          </a:ln>
                        </pic:spPr>
                      </pic:pic>
                    </a:graphicData>
                  </a:graphic>
                </wp:inline>
              </w:drawing>
            </w:r>
          </w:p>
          <w:p>
            <w:pPr>
              <w:pStyle w:val="80"/>
            </w:pPr>
            <w:r>
              <w:t>式中：</w:t>
            </w:r>
            <w:r>
              <w:drawing>
                <wp:inline distT="0" distB="0" distL="0" distR="0">
                  <wp:extent cx="233045" cy="16383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233045" cy="163830"/>
                          </a:xfrm>
                          <a:prstGeom prst="rect">
                            <a:avLst/>
                          </a:prstGeom>
                          <a:noFill/>
                          <a:ln>
                            <a:noFill/>
                          </a:ln>
                        </pic:spPr>
                      </pic:pic>
                    </a:graphicData>
                  </a:graphic>
                </wp:inline>
              </w:drawing>
            </w:r>
            <w:r>
              <w:t>— —点源等效声级衰减值；dB(A)。</w:t>
            </w:r>
          </w:p>
          <w:p>
            <w:pPr>
              <w:pStyle w:val="80"/>
            </w:pPr>
            <w:r>
              <w:drawing>
                <wp:inline distT="0" distB="0" distL="0" distR="0">
                  <wp:extent cx="137795" cy="233045"/>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137795" cy="233045"/>
                          </a:xfrm>
                          <a:prstGeom prst="rect">
                            <a:avLst/>
                          </a:prstGeom>
                          <a:noFill/>
                          <a:ln>
                            <a:noFill/>
                          </a:ln>
                        </pic:spPr>
                      </pic:pic>
                    </a:graphicData>
                  </a:graphic>
                </wp:inline>
              </w:drawing>
            </w:r>
            <w:r>
              <w:t>— —源强监测点离噪声源的距离；1m。</w:t>
            </w:r>
          </w:p>
          <w:p>
            <w:pPr>
              <w:pStyle w:val="80"/>
            </w:pPr>
            <w:r>
              <w:drawing>
                <wp:inline distT="0" distB="0" distL="0" distR="0">
                  <wp:extent cx="112395" cy="12954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112395" cy="129540"/>
                          </a:xfrm>
                          <a:prstGeom prst="rect">
                            <a:avLst/>
                          </a:prstGeom>
                          <a:noFill/>
                          <a:ln>
                            <a:noFill/>
                          </a:ln>
                        </pic:spPr>
                      </pic:pic>
                    </a:graphicData>
                  </a:graphic>
                </wp:inline>
              </w:drawing>
            </w:r>
            <w:r>
              <w:t>— —预测点离源强的距离；m。</w:t>
            </w:r>
          </w:p>
          <w:p>
            <w:pPr>
              <w:pStyle w:val="80"/>
            </w:pPr>
            <w:r>
              <w:t>3、评价标准</w:t>
            </w:r>
          </w:p>
          <w:p>
            <w:pPr>
              <w:pStyle w:val="80"/>
            </w:pPr>
            <w:r>
              <w:t>本次声环境影响预测评价标准执行《工业企业厂界环境噪声排放标准》（GB12348-2008）2类标准：昼间60dB(A)、夜间50dB(A)。</w:t>
            </w:r>
          </w:p>
          <w:p>
            <w:pPr>
              <w:pStyle w:val="80"/>
            </w:pPr>
            <w:r>
              <w:t>4、预测结果</w:t>
            </w:r>
          </w:p>
          <w:p>
            <w:pPr>
              <w:pStyle w:val="80"/>
            </w:pPr>
            <w:r>
              <w:t>根据项目实施后噪声源在厂房内的分布，可将产噪设备近似于位于厂房中间的点声源预测设备噪声源对厂界的贡献值，预测结果详见</w:t>
            </w:r>
            <w:r>
              <w:fldChar w:fldCharType="begin"/>
            </w:r>
            <w:r>
              <w:instrText xml:space="preserve"> REF _Ref450575387 \h  \* MERGEFORMAT </w:instrText>
            </w:r>
            <w:r>
              <w:fldChar w:fldCharType="separate"/>
            </w:r>
          </w:p>
          <w:p>
            <w:pPr>
              <w:pStyle w:val="80"/>
            </w:pPr>
            <w:r>
              <w:t>表</w:t>
            </w:r>
            <w:r>
              <w:fldChar w:fldCharType="end"/>
            </w:r>
            <w:r>
              <w:t>4-15；项目夜间不生产。</w:t>
            </w:r>
            <w:bookmarkStart w:id="16" w:name="_Ref450575387"/>
          </w:p>
          <w:p>
            <w:pPr>
              <w:pStyle w:val="9"/>
              <w:keepNext/>
            </w:pPr>
            <w:r>
              <w:t>表</w:t>
            </w:r>
            <w:bookmarkEnd w:id="16"/>
            <w:r>
              <w:t>4-15    噪声预测结果表</w:t>
            </w:r>
          </w:p>
          <w:tbl>
            <w:tblPr>
              <w:tblStyle w:val="25"/>
              <w:tblW w:w="83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848"/>
              <w:gridCol w:w="1002"/>
              <w:gridCol w:w="1228"/>
              <w:gridCol w:w="1228"/>
              <w:gridCol w:w="1240"/>
              <w:gridCol w:w="1217"/>
              <w:gridCol w:w="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trPr>
              <w:tc>
                <w:tcPr>
                  <w:tcW w:w="915" w:type="dxa"/>
                  <w:vMerge w:val="restart"/>
                  <w:shd w:val="clear" w:color="auto" w:fill="auto"/>
                  <w:vAlign w:val="center"/>
                </w:tcPr>
                <w:p>
                  <w:pPr>
                    <w:pStyle w:val="36"/>
                    <w:spacing w:before="24" w:after="24"/>
                    <w:rPr>
                      <w:rFonts w:ascii="Times New Roman"/>
                    </w:rPr>
                  </w:pPr>
                  <w:r>
                    <w:rPr>
                      <w:rFonts w:ascii="Times New Roman"/>
                    </w:rPr>
                    <w:t>厂界</w:t>
                  </w:r>
                </w:p>
                <w:p>
                  <w:pPr>
                    <w:pStyle w:val="36"/>
                    <w:spacing w:before="24" w:after="24"/>
                    <w:rPr>
                      <w:rFonts w:ascii="Times New Roman"/>
                    </w:rPr>
                  </w:pPr>
                  <w:r>
                    <w:rPr>
                      <w:rFonts w:ascii="Times New Roman"/>
                    </w:rPr>
                    <w:t>方位</w:t>
                  </w:r>
                </w:p>
              </w:tc>
              <w:tc>
                <w:tcPr>
                  <w:tcW w:w="848" w:type="dxa"/>
                  <w:vMerge w:val="restart"/>
                  <w:shd w:val="clear" w:color="auto" w:fill="auto"/>
                  <w:vAlign w:val="center"/>
                </w:tcPr>
                <w:p>
                  <w:pPr>
                    <w:pStyle w:val="36"/>
                    <w:spacing w:before="24" w:after="24"/>
                    <w:rPr>
                      <w:rFonts w:ascii="Times New Roman"/>
                    </w:rPr>
                  </w:pPr>
                  <w:r>
                    <w:rPr>
                      <w:rFonts w:ascii="Times New Roman"/>
                    </w:rPr>
                    <w:t>设备距离厂界距离</w:t>
                  </w:r>
                </w:p>
              </w:tc>
              <w:tc>
                <w:tcPr>
                  <w:tcW w:w="1002" w:type="dxa"/>
                  <w:shd w:val="clear" w:color="auto" w:fill="auto"/>
                  <w:vAlign w:val="center"/>
                </w:tcPr>
                <w:p>
                  <w:pPr>
                    <w:pStyle w:val="36"/>
                    <w:spacing w:before="24" w:after="24"/>
                    <w:rPr>
                      <w:rFonts w:ascii="Times New Roman"/>
                    </w:rPr>
                  </w:pPr>
                  <w:r>
                    <w:rPr>
                      <w:rFonts w:ascii="Times New Roman"/>
                    </w:rPr>
                    <w:t>源强厂界</w:t>
                  </w:r>
                </w:p>
              </w:tc>
              <w:tc>
                <w:tcPr>
                  <w:tcW w:w="2456" w:type="dxa"/>
                  <w:gridSpan w:val="2"/>
                  <w:shd w:val="clear" w:color="auto" w:fill="auto"/>
                  <w:vAlign w:val="center"/>
                </w:tcPr>
                <w:p>
                  <w:pPr>
                    <w:pStyle w:val="36"/>
                    <w:spacing w:before="24" w:after="24"/>
                    <w:rPr>
                      <w:rFonts w:ascii="Times New Roman"/>
                    </w:rPr>
                  </w:pPr>
                  <w:r>
                    <w:rPr>
                      <w:rFonts w:ascii="Times New Roman"/>
                    </w:rPr>
                    <w:t>厂界最大本底值dB(A)</w:t>
                  </w:r>
                </w:p>
              </w:tc>
              <w:tc>
                <w:tcPr>
                  <w:tcW w:w="2457" w:type="dxa"/>
                  <w:gridSpan w:val="2"/>
                  <w:shd w:val="clear" w:color="auto" w:fill="auto"/>
                  <w:vAlign w:val="center"/>
                </w:tcPr>
                <w:p>
                  <w:pPr>
                    <w:pStyle w:val="36"/>
                    <w:spacing w:before="24" w:after="24"/>
                    <w:rPr>
                      <w:rFonts w:ascii="Times New Roman"/>
                    </w:rPr>
                  </w:pPr>
                  <w:r>
                    <w:rPr>
                      <w:rFonts w:ascii="Times New Roman"/>
                    </w:rPr>
                    <w:t>厂界预测值dB(A)</w:t>
                  </w:r>
                </w:p>
              </w:tc>
              <w:tc>
                <w:tcPr>
                  <w:tcW w:w="689" w:type="dxa"/>
                  <w:vMerge w:val="restart"/>
                  <w:shd w:val="clear" w:color="auto" w:fill="auto"/>
                  <w:vAlign w:val="center"/>
                </w:tcPr>
                <w:p>
                  <w:pPr>
                    <w:pStyle w:val="36"/>
                    <w:spacing w:before="24" w:after="24"/>
                    <w:rPr>
                      <w:rFonts w:ascii="Times New Roman"/>
                    </w:rPr>
                  </w:pPr>
                  <w:r>
                    <w:rPr>
                      <w:rFonts w:ascii="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15" w:type="dxa"/>
                  <w:vMerge w:val="continue"/>
                  <w:shd w:val="clear" w:color="auto" w:fill="auto"/>
                  <w:vAlign w:val="center"/>
                </w:tcPr>
                <w:p>
                  <w:pPr>
                    <w:pStyle w:val="36"/>
                    <w:spacing w:before="24" w:after="24"/>
                    <w:rPr>
                      <w:rFonts w:ascii="Times New Roman"/>
                    </w:rPr>
                  </w:pPr>
                </w:p>
              </w:tc>
              <w:tc>
                <w:tcPr>
                  <w:tcW w:w="848" w:type="dxa"/>
                  <w:vMerge w:val="continue"/>
                  <w:shd w:val="clear" w:color="auto" w:fill="auto"/>
                  <w:vAlign w:val="center"/>
                </w:tcPr>
                <w:p>
                  <w:pPr>
                    <w:pStyle w:val="36"/>
                    <w:spacing w:before="24" w:after="24"/>
                    <w:rPr>
                      <w:rFonts w:ascii="Times New Roman"/>
                    </w:rPr>
                  </w:pPr>
                </w:p>
              </w:tc>
              <w:tc>
                <w:tcPr>
                  <w:tcW w:w="1002" w:type="dxa"/>
                  <w:shd w:val="clear" w:color="auto" w:fill="auto"/>
                  <w:vAlign w:val="center"/>
                </w:tcPr>
                <w:p>
                  <w:pPr>
                    <w:pStyle w:val="36"/>
                    <w:spacing w:before="24" w:after="24"/>
                    <w:rPr>
                      <w:rFonts w:ascii="Times New Roman"/>
                    </w:rPr>
                  </w:pPr>
                  <w:r>
                    <w:rPr>
                      <w:rFonts w:ascii="Times New Roman"/>
                    </w:rPr>
                    <w:t>贡献值dB（A）</w:t>
                  </w:r>
                </w:p>
              </w:tc>
              <w:tc>
                <w:tcPr>
                  <w:tcW w:w="1228" w:type="dxa"/>
                  <w:shd w:val="clear" w:color="auto" w:fill="auto"/>
                  <w:vAlign w:val="center"/>
                </w:tcPr>
                <w:p>
                  <w:pPr>
                    <w:pStyle w:val="36"/>
                    <w:spacing w:before="24" w:after="24"/>
                    <w:rPr>
                      <w:rFonts w:ascii="Times New Roman"/>
                    </w:rPr>
                  </w:pPr>
                  <w:r>
                    <w:rPr>
                      <w:rFonts w:ascii="Times New Roman"/>
                    </w:rPr>
                    <w:t>昼间</w:t>
                  </w:r>
                </w:p>
              </w:tc>
              <w:tc>
                <w:tcPr>
                  <w:tcW w:w="1228" w:type="dxa"/>
                  <w:shd w:val="clear" w:color="auto" w:fill="auto"/>
                  <w:vAlign w:val="center"/>
                </w:tcPr>
                <w:p>
                  <w:pPr>
                    <w:pStyle w:val="36"/>
                    <w:spacing w:before="24" w:after="24"/>
                    <w:rPr>
                      <w:rFonts w:ascii="Times New Roman"/>
                    </w:rPr>
                  </w:pPr>
                  <w:r>
                    <w:rPr>
                      <w:rFonts w:ascii="Times New Roman"/>
                    </w:rPr>
                    <w:t>夜间</w:t>
                  </w:r>
                </w:p>
              </w:tc>
              <w:tc>
                <w:tcPr>
                  <w:tcW w:w="1240" w:type="dxa"/>
                  <w:shd w:val="clear" w:color="auto" w:fill="auto"/>
                  <w:vAlign w:val="center"/>
                </w:tcPr>
                <w:p>
                  <w:pPr>
                    <w:pStyle w:val="36"/>
                    <w:spacing w:before="24" w:after="24"/>
                    <w:rPr>
                      <w:rFonts w:ascii="Times New Roman"/>
                    </w:rPr>
                  </w:pPr>
                  <w:r>
                    <w:rPr>
                      <w:rFonts w:ascii="Times New Roman"/>
                    </w:rPr>
                    <w:t>昼间</w:t>
                  </w:r>
                </w:p>
              </w:tc>
              <w:tc>
                <w:tcPr>
                  <w:tcW w:w="1217" w:type="dxa"/>
                  <w:shd w:val="clear" w:color="auto" w:fill="auto"/>
                  <w:vAlign w:val="center"/>
                </w:tcPr>
                <w:p>
                  <w:pPr>
                    <w:pStyle w:val="36"/>
                    <w:spacing w:before="24" w:after="24"/>
                    <w:rPr>
                      <w:rFonts w:ascii="Times New Roman"/>
                    </w:rPr>
                  </w:pPr>
                  <w:r>
                    <w:rPr>
                      <w:rFonts w:ascii="Times New Roman"/>
                    </w:rPr>
                    <w:t>夜间</w:t>
                  </w:r>
                </w:p>
              </w:tc>
              <w:tc>
                <w:tcPr>
                  <w:tcW w:w="689" w:type="dxa"/>
                  <w:vMerge w:val="continue"/>
                  <w:vAlign w:val="center"/>
                </w:tcPr>
                <w:p>
                  <w:pPr>
                    <w:pStyle w:val="36"/>
                    <w:spacing w:before="24" w:after="24"/>
                    <w:rPr>
                      <w:rFonts w:asci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15" w:type="dxa"/>
                  <w:shd w:val="clear" w:color="auto" w:fill="auto"/>
                  <w:vAlign w:val="center"/>
                </w:tcPr>
                <w:p>
                  <w:pPr>
                    <w:pStyle w:val="36"/>
                    <w:spacing w:before="24" w:after="24"/>
                    <w:rPr>
                      <w:rFonts w:ascii="Times New Roman"/>
                    </w:rPr>
                  </w:pPr>
                  <w:r>
                    <w:rPr>
                      <w:rFonts w:ascii="Times New Roman"/>
                    </w:rPr>
                    <w:t>东边界</w:t>
                  </w:r>
                </w:p>
              </w:tc>
              <w:tc>
                <w:tcPr>
                  <w:tcW w:w="848" w:type="dxa"/>
                  <w:shd w:val="clear" w:color="auto" w:fill="auto"/>
                  <w:vAlign w:val="center"/>
                </w:tcPr>
                <w:p>
                  <w:pPr>
                    <w:jc w:val="center"/>
                  </w:pPr>
                  <w:r>
                    <w:t>30</w:t>
                  </w:r>
                </w:p>
              </w:tc>
              <w:tc>
                <w:tcPr>
                  <w:tcW w:w="1002" w:type="dxa"/>
                  <w:shd w:val="clear" w:color="auto" w:fill="auto"/>
                  <w:vAlign w:val="center"/>
                </w:tcPr>
                <w:p>
                  <w:pPr>
                    <w:jc w:val="center"/>
                  </w:pPr>
                  <w:r>
                    <w:t>32.18</w:t>
                  </w:r>
                </w:p>
              </w:tc>
              <w:tc>
                <w:tcPr>
                  <w:tcW w:w="1228" w:type="dxa"/>
                  <w:shd w:val="clear" w:color="auto" w:fill="auto"/>
                  <w:vAlign w:val="center"/>
                </w:tcPr>
                <w:p>
                  <w:pPr>
                    <w:jc w:val="center"/>
                  </w:pPr>
                  <w:r>
                    <w:t>-</w:t>
                  </w:r>
                </w:p>
              </w:tc>
              <w:tc>
                <w:tcPr>
                  <w:tcW w:w="1228" w:type="dxa"/>
                  <w:shd w:val="clear" w:color="auto" w:fill="auto"/>
                  <w:vAlign w:val="center"/>
                </w:tcPr>
                <w:p>
                  <w:pPr>
                    <w:jc w:val="center"/>
                  </w:pPr>
                  <w:r>
                    <w:t>-</w:t>
                  </w:r>
                </w:p>
              </w:tc>
              <w:tc>
                <w:tcPr>
                  <w:tcW w:w="1240" w:type="dxa"/>
                  <w:shd w:val="clear" w:color="auto" w:fill="auto"/>
                  <w:vAlign w:val="center"/>
                </w:tcPr>
                <w:p>
                  <w:pPr>
                    <w:jc w:val="center"/>
                  </w:pPr>
                  <w:r>
                    <w:t>32.18</w:t>
                  </w:r>
                </w:p>
              </w:tc>
              <w:tc>
                <w:tcPr>
                  <w:tcW w:w="1217" w:type="dxa"/>
                  <w:shd w:val="clear" w:color="auto" w:fill="auto"/>
                  <w:vAlign w:val="center"/>
                </w:tcPr>
                <w:p>
                  <w:pPr>
                    <w:pStyle w:val="36"/>
                    <w:spacing w:before="24" w:after="24"/>
                    <w:rPr>
                      <w:rFonts w:ascii="Times New Roman"/>
                    </w:rPr>
                  </w:pPr>
                  <w:r>
                    <w:rPr>
                      <w:rFonts w:ascii="Times New Roman"/>
                    </w:rPr>
                    <w:t>-</w:t>
                  </w:r>
                </w:p>
              </w:tc>
              <w:tc>
                <w:tcPr>
                  <w:tcW w:w="689" w:type="dxa"/>
                  <w:shd w:val="clear" w:color="auto" w:fill="auto"/>
                  <w:vAlign w:val="center"/>
                </w:tcPr>
                <w:p>
                  <w:pPr>
                    <w:pStyle w:val="36"/>
                    <w:spacing w:before="24" w:after="24"/>
                    <w:rPr>
                      <w:rFonts w:ascii="Times New Roman"/>
                    </w:rPr>
                  </w:pPr>
                  <w:r>
                    <w:rPr>
                      <w:rFonts w:ascii="Times New Roma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15" w:type="dxa"/>
                  <w:shd w:val="clear" w:color="auto" w:fill="auto"/>
                  <w:vAlign w:val="center"/>
                </w:tcPr>
                <w:p>
                  <w:pPr>
                    <w:pStyle w:val="36"/>
                    <w:spacing w:before="24" w:after="24"/>
                    <w:rPr>
                      <w:rFonts w:ascii="Times New Roman"/>
                    </w:rPr>
                  </w:pPr>
                  <w:r>
                    <w:rPr>
                      <w:rFonts w:ascii="Times New Roman"/>
                    </w:rPr>
                    <w:t>南边界</w:t>
                  </w:r>
                </w:p>
              </w:tc>
              <w:tc>
                <w:tcPr>
                  <w:tcW w:w="848" w:type="dxa"/>
                  <w:shd w:val="clear" w:color="auto" w:fill="auto"/>
                  <w:vAlign w:val="center"/>
                </w:tcPr>
                <w:p>
                  <w:pPr>
                    <w:jc w:val="center"/>
                  </w:pPr>
                  <w:r>
                    <w:t>20</w:t>
                  </w:r>
                </w:p>
              </w:tc>
              <w:tc>
                <w:tcPr>
                  <w:tcW w:w="1002" w:type="dxa"/>
                  <w:shd w:val="clear" w:color="auto" w:fill="auto"/>
                  <w:vAlign w:val="center"/>
                </w:tcPr>
                <w:p>
                  <w:pPr>
                    <w:jc w:val="center"/>
                  </w:pPr>
                  <w:r>
                    <w:t>40.20</w:t>
                  </w:r>
                </w:p>
              </w:tc>
              <w:tc>
                <w:tcPr>
                  <w:tcW w:w="1228" w:type="dxa"/>
                  <w:shd w:val="clear" w:color="auto" w:fill="auto"/>
                  <w:vAlign w:val="center"/>
                </w:tcPr>
                <w:p>
                  <w:pPr>
                    <w:jc w:val="center"/>
                  </w:pPr>
                  <w:r>
                    <w:t>-</w:t>
                  </w:r>
                </w:p>
              </w:tc>
              <w:tc>
                <w:tcPr>
                  <w:tcW w:w="1228" w:type="dxa"/>
                  <w:shd w:val="clear" w:color="auto" w:fill="auto"/>
                  <w:vAlign w:val="center"/>
                </w:tcPr>
                <w:p>
                  <w:pPr>
                    <w:jc w:val="center"/>
                  </w:pPr>
                  <w:r>
                    <w:t>-</w:t>
                  </w:r>
                </w:p>
              </w:tc>
              <w:tc>
                <w:tcPr>
                  <w:tcW w:w="1240" w:type="dxa"/>
                  <w:shd w:val="clear" w:color="auto" w:fill="auto"/>
                  <w:vAlign w:val="center"/>
                </w:tcPr>
                <w:p>
                  <w:pPr>
                    <w:jc w:val="center"/>
                  </w:pPr>
                  <w:r>
                    <w:t>40.20</w:t>
                  </w:r>
                </w:p>
              </w:tc>
              <w:tc>
                <w:tcPr>
                  <w:tcW w:w="1217" w:type="dxa"/>
                  <w:shd w:val="clear" w:color="auto" w:fill="auto"/>
                  <w:vAlign w:val="center"/>
                </w:tcPr>
                <w:p>
                  <w:pPr>
                    <w:jc w:val="center"/>
                  </w:pPr>
                  <w:r>
                    <w:t>-</w:t>
                  </w:r>
                </w:p>
              </w:tc>
              <w:tc>
                <w:tcPr>
                  <w:tcW w:w="689" w:type="dxa"/>
                  <w:shd w:val="clear" w:color="auto" w:fill="auto"/>
                  <w:vAlign w:val="center"/>
                </w:tcPr>
                <w:p>
                  <w:pPr>
                    <w:pStyle w:val="36"/>
                    <w:spacing w:before="24" w:after="24"/>
                    <w:rPr>
                      <w:rFonts w:ascii="Times New Roman"/>
                    </w:rPr>
                  </w:pPr>
                  <w:r>
                    <w:rPr>
                      <w:rFonts w:ascii="Times New Roma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15" w:type="dxa"/>
                  <w:shd w:val="clear" w:color="auto" w:fill="auto"/>
                  <w:vAlign w:val="center"/>
                </w:tcPr>
                <w:p>
                  <w:pPr>
                    <w:pStyle w:val="36"/>
                    <w:spacing w:before="24" w:after="24"/>
                    <w:rPr>
                      <w:rFonts w:ascii="Times New Roman"/>
                    </w:rPr>
                  </w:pPr>
                  <w:r>
                    <w:rPr>
                      <w:rFonts w:ascii="Times New Roman"/>
                    </w:rPr>
                    <w:t>西边界</w:t>
                  </w:r>
                </w:p>
              </w:tc>
              <w:tc>
                <w:tcPr>
                  <w:tcW w:w="848" w:type="dxa"/>
                  <w:shd w:val="clear" w:color="auto" w:fill="auto"/>
                  <w:vAlign w:val="center"/>
                </w:tcPr>
                <w:p>
                  <w:pPr>
                    <w:jc w:val="center"/>
                  </w:pPr>
                  <w:r>
                    <w:t>30</w:t>
                  </w:r>
                </w:p>
              </w:tc>
              <w:tc>
                <w:tcPr>
                  <w:tcW w:w="1002" w:type="dxa"/>
                  <w:shd w:val="clear" w:color="auto" w:fill="auto"/>
                  <w:vAlign w:val="center"/>
                </w:tcPr>
                <w:p>
                  <w:pPr>
                    <w:jc w:val="center"/>
                  </w:pPr>
                  <w:r>
                    <w:t>32.18</w:t>
                  </w:r>
                </w:p>
              </w:tc>
              <w:tc>
                <w:tcPr>
                  <w:tcW w:w="1228" w:type="dxa"/>
                  <w:shd w:val="clear" w:color="auto" w:fill="auto"/>
                  <w:vAlign w:val="center"/>
                </w:tcPr>
                <w:p>
                  <w:pPr>
                    <w:jc w:val="center"/>
                  </w:pPr>
                  <w:r>
                    <w:t>-</w:t>
                  </w:r>
                </w:p>
              </w:tc>
              <w:tc>
                <w:tcPr>
                  <w:tcW w:w="1228" w:type="dxa"/>
                  <w:shd w:val="clear" w:color="auto" w:fill="auto"/>
                  <w:vAlign w:val="center"/>
                </w:tcPr>
                <w:p>
                  <w:pPr>
                    <w:jc w:val="center"/>
                  </w:pPr>
                  <w:r>
                    <w:t>-</w:t>
                  </w:r>
                </w:p>
              </w:tc>
              <w:tc>
                <w:tcPr>
                  <w:tcW w:w="1240" w:type="dxa"/>
                  <w:shd w:val="clear" w:color="auto" w:fill="auto"/>
                  <w:vAlign w:val="center"/>
                </w:tcPr>
                <w:p>
                  <w:pPr>
                    <w:jc w:val="center"/>
                  </w:pPr>
                  <w:r>
                    <w:t>32.18</w:t>
                  </w:r>
                </w:p>
              </w:tc>
              <w:tc>
                <w:tcPr>
                  <w:tcW w:w="1217" w:type="dxa"/>
                  <w:shd w:val="clear" w:color="auto" w:fill="auto"/>
                  <w:vAlign w:val="center"/>
                </w:tcPr>
                <w:p>
                  <w:pPr>
                    <w:jc w:val="center"/>
                  </w:pPr>
                  <w:r>
                    <w:t>-</w:t>
                  </w:r>
                </w:p>
              </w:tc>
              <w:tc>
                <w:tcPr>
                  <w:tcW w:w="689" w:type="dxa"/>
                  <w:shd w:val="clear" w:color="auto" w:fill="auto"/>
                  <w:vAlign w:val="center"/>
                </w:tcPr>
                <w:p>
                  <w:pPr>
                    <w:pStyle w:val="36"/>
                    <w:spacing w:before="24" w:after="24"/>
                    <w:rPr>
                      <w:rFonts w:ascii="Times New Roman"/>
                    </w:rPr>
                  </w:pPr>
                  <w:r>
                    <w:rPr>
                      <w:rFonts w:ascii="Times New Roma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15" w:type="dxa"/>
                  <w:shd w:val="clear" w:color="auto" w:fill="auto"/>
                  <w:vAlign w:val="center"/>
                </w:tcPr>
                <w:p>
                  <w:pPr>
                    <w:pStyle w:val="36"/>
                    <w:spacing w:before="24" w:after="24"/>
                    <w:rPr>
                      <w:rFonts w:ascii="Times New Roman"/>
                    </w:rPr>
                  </w:pPr>
                  <w:r>
                    <w:rPr>
                      <w:rFonts w:ascii="Times New Roman"/>
                    </w:rPr>
                    <w:t>北边界</w:t>
                  </w:r>
                </w:p>
              </w:tc>
              <w:tc>
                <w:tcPr>
                  <w:tcW w:w="848" w:type="dxa"/>
                  <w:shd w:val="clear" w:color="auto" w:fill="auto"/>
                  <w:vAlign w:val="center"/>
                </w:tcPr>
                <w:p>
                  <w:pPr>
                    <w:jc w:val="center"/>
                  </w:pPr>
                  <w:r>
                    <w:t>20</w:t>
                  </w:r>
                </w:p>
              </w:tc>
              <w:tc>
                <w:tcPr>
                  <w:tcW w:w="1002" w:type="dxa"/>
                  <w:shd w:val="clear" w:color="auto" w:fill="auto"/>
                  <w:vAlign w:val="center"/>
                </w:tcPr>
                <w:p>
                  <w:pPr>
                    <w:jc w:val="center"/>
                  </w:pPr>
                  <w:r>
                    <w:t>40.20</w:t>
                  </w:r>
                </w:p>
              </w:tc>
              <w:tc>
                <w:tcPr>
                  <w:tcW w:w="1228" w:type="dxa"/>
                  <w:shd w:val="clear" w:color="auto" w:fill="auto"/>
                  <w:vAlign w:val="center"/>
                </w:tcPr>
                <w:p>
                  <w:pPr>
                    <w:jc w:val="center"/>
                  </w:pPr>
                  <w:r>
                    <w:t>-</w:t>
                  </w:r>
                </w:p>
              </w:tc>
              <w:tc>
                <w:tcPr>
                  <w:tcW w:w="1228" w:type="dxa"/>
                  <w:shd w:val="clear" w:color="auto" w:fill="auto"/>
                  <w:vAlign w:val="center"/>
                </w:tcPr>
                <w:p>
                  <w:pPr>
                    <w:jc w:val="center"/>
                  </w:pPr>
                  <w:r>
                    <w:t>-</w:t>
                  </w:r>
                </w:p>
              </w:tc>
              <w:tc>
                <w:tcPr>
                  <w:tcW w:w="1240" w:type="dxa"/>
                  <w:shd w:val="clear" w:color="auto" w:fill="auto"/>
                  <w:vAlign w:val="center"/>
                </w:tcPr>
                <w:p>
                  <w:pPr>
                    <w:jc w:val="center"/>
                  </w:pPr>
                  <w:r>
                    <w:t>40.20</w:t>
                  </w:r>
                </w:p>
              </w:tc>
              <w:tc>
                <w:tcPr>
                  <w:tcW w:w="1217" w:type="dxa"/>
                  <w:shd w:val="clear" w:color="auto" w:fill="auto"/>
                  <w:vAlign w:val="center"/>
                </w:tcPr>
                <w:p>
                  <w:pPr>
                    <w:pStyle w:val="36"/>
                    <w:spacing w:before="24" w:after="24"/>
                    <w:rPr>
                      <w:rFonts w:ascii="Times New Roman"/>
                    </w:rPr>
                  </w:pPr>
                  <w:r>
                    <w:rPr>
                      <w:rFonts w:ascii="Times New Roman"/>
                    </w:rPr>
                    <w:t>-</w:t>
                  </w:r>
                </w:p>
              </w:tc>
              <w:tc>
                <w:tcPr>
                  <w:tcW w:w="689" w:type="dxa"/>
                  <w:shd w:val="clear" w:color="auto" w:fill="auto"/>
                  <w:vAlign w:val="center"/>
                </w:tcPr>
                <w:p>
                  <w:pPr>
                    <w:pStyle w:val="36"/>
                    <w:spacing w:before="24" w:after="24"/>
                    <w:rPr>
                      <w:rFonts w:ascii="Times New Roman"/>
                    </w:rPr>
                  </w:pPr>
                  <w:r>
                    <w:rPr>
                      <w:rFonts w:ascii="Times New Roma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367" w:type="dxa"/>
                  <w:gridSpan w:val="8"/>
                  <w:shd w:val="clear" w:color="auto" w:fill="auto"/>
                  <w:vAlign w:val="center"/>
                </w:tcPr>
                <w:p>
                  <w:pPr>
                    <w:pStyle w:val="36"/>
                    <w:spacing w:before="24" w:after="24"/>
                    <w:ind w:firstLine="420" w:firstLineChars="200"/>
                    <w:jc w:val="both"/>
                    <w:rPr>
                      <w:rFonts w:ascii="Times New Roman"/>
                    </w:rPr>
                  </w:pPr>
                  <w:r>
                    <w:rPr>
                      <w:rFonts w:ascii="Times New Roman"/>
                    </w:rPr>
                    <w:t>《工业企业厂界环境噪声排放标准》（GB12348-2008）2类标准：昼间60dB(A)、夜间50dB(A)</w:t>
                  </w:r>
                </w:p>
              </w:tc>
            </w:tr>
          </w:tbl>
          <w:p>
            <w:pPr>
              <w:pStyle w:val="80"/>
            </w:pPr>
            <w:r>
              <w:t>由以上分析可知，项目建成运营后，厂界噪声可达《工业企业厂界环境噪声排放标准》（GB12348-2008）2类标准。因此，项目噪声对周边声环境影响较小。</w:t>
            </w:r>
          </w:p>
          <w:p>
            <w:pPr>
              <w:pStyle w:val="80"/>
            </w:pPr>
            <w:r>
              <w:t>5、噪声防治措施</w:t>
            </w:r>
          </w:p>
          <w:p>
            <w:pPr>
              <w:spacing w:line="360" w:lineRule="auto"/>
              <w:ind w:firstLine="480" w:firstLineChars="200"/>
              <w:rPr>
                <w:sz w:val="24"/>
              </w:rPr>
            </w:pPr>
            <w:r>
              <w:rPr>
                <w:sz w:val="24"/>
              </w:rPr>
              <w:t>项目拟采取的噪声防治措施：</w:t>
            </w:r>
          </w:p>
          <w:p>
            <w:pPr>
              <w:spacing w:line="360" w:lineRule="auto"/>
              <w:ind w:firstLine="480" w:firstLineChars="200"/>
              <w:rPr>
                <w:sz w:val="24"/>
              </w:rPr>
            </w:pPr>
            <w:r>
              <w:rPr>
                <w:rFonts w:hint="eastAsia" w:ascii="宋体" w:hAnsi="宋体" w:cs="宋体"/>
                <w:sz w:val="24"/>
              </w:rPr>
              <w:t>①</w:t>
            </w:r>
            <w:r>
              <w:rPr>
                <w:sz w:val="24"/>
              </w:rPr>
              <w:t>从声源上降低噪声是最积极的措施，设备选型尽可能采用低噪声设备；加强对高噪声设备的运行管理，保持设备的合理润滑和良好的运行性能；加强职工环保意识教育，提倡文明生产，防止人为噪声。</w:t>
            </w:r>
          </w:p>
          <w:p>
            <w:pPr>
              <w:spacing w:line="360" w:lineRule="auto"/>
              <w:ind w:firstLine="480" w:firstLineChars="200"/>
              <w:rPr>
                <w:sz w:val="24"/>
              </w:rPr>
            </w:pPr>
            <w:r>
              <w:rPr>
                <w:rFonts w:hint="eastAsia" w:ascii="宋体" w:hAnsi="宋体" w:cs="宋体"/>
                <w:sz w:val="24"/>
              </w:rPr>
              <w:t>②</w:t>
            </w:r>
            <w:r>
              <w:rPr>
                <w:sz w:val="24"/>
              </w:rPr>
              <w:t>定期检查、维修设备，使设备处于良好的运行状态，防止机械噪声的升高。</w:t>
            </w:r>
          </w:p>
          <w:p>
            <w:pPr>
              <w:spacing w:line="360" w:lineRule="auto"/>
              <w:ind w:firstLine="480" w:firstLineChars="200"/>
              <w:rPr>
                <w:sz w:val="24"/>
              </w:rPr>
            </w:pPr>
            <w:r>
              <w:rPr>
                <w:rFonts w:hint="eastAsia" w:ascii="宋体" w:hAnsi="宋体" w:cs="宋体"/>
                <w:sz w:val="24"/>
                <w:lang w:eastAsia="ja-JP"/>
              </w:rPr>
              <w:t>③</w:t>
            </w:r>
            <w:r>
              <w:rPr>
                <w:sz w:val="24"/>
              </w:rPr>
              <w:t>生产区为封闭式，原料堆场设为半封闭式，可进一步降低噪声的传递。</w:t>
            </w:r>
          </w:p>
          <w:p>
            <w:pPr>
              <w:spacing w:line="360" w:lineRule="auto"/>
              <w:ind w:firstLine="480" w:firstLineChars="200"/>
              <w:rPr>
                <w:sz w:val="24"/>
              </w:rPr>
            </w:pPr>
            <w:r>
              <w:rPr>
                <w:rFonts w:hint="eastAsia" w:ascii="宋体" w:hAnsi="宋体" w:cs="宋体"/>
                <w:sz w:val="24"/>
              </w:rPr>
              <w:t>④</w:t>
            </w:r>
            <w:r>
              <w:rPr>
                <w:sz w:val="24"/>
              </w:rPr>
              <w:t>项目车辆出入场地时应减速、禁止鸣笛，加强车辆维护保养，避免车况不佳引起的噪声增加。</w:t>
            </w:r>
          </w:p>
          <w:p>
            <w:pPr>
              <w:spacing w:line="360" w:lineRule="auto"/>
              <w:ind w:firstLine="480" w:firstLineChars="200"/>
              <w:rPr>
                <w:sz w:val="24"/>
              </w:rPr>
            </w:pPr>
            <w:r>
              <w:rPr>
                <w:rFonts w:hint="eastAsia" w:ascii="宋体" w:hAnsi="宋体" w:cs="宋体"/>
                <w:sz w:val="24"/>
              </w:rPr>
              <w:t>⑤</w:t>
            </w:r>
            <w:r>
              <w:rPr>
                <w:sz w:val="24"/>
              </w:rPr>
              <w:t>严格按照建设方生产制度及作息时间作业，严禁夜间及中午休息时间作业。</w:t>
            </w:r>
          </w:p>
          <w:p>
            <w:pPr>
              <w:spacing w:line="360" w:lineRule="auto"/>
              <w:ind w:firstLine="480" w:firstLineChars="200"/>
              <w:rPr>
                <w:sz w:val="24"/>
              </w:rPr>
            </w:pPr>
            <w:r>
              <w:rPr>
                <w:sz w:val="24"/>
              </w:rPr>
              <w:t>类比同类型企业，采取如上措施后，可使项目噪声对周边居民的影响降至最低。</w:t>
            </w:r>
          </w:p>
          <w:p>
            <w:pPr>
              <w:adjustRightInd w:val="0"/>
              <w:snapToGrid w:val="0"/>
              <w:spacing w:line="360" w:lineRule="auto"/>
              <w:ind w:firstLine="480" w:firstLineChars="200"/>
              <w:rPr>
                <w:bCs/>
                <w:sz w:val="24"/>
              </w:rPr>
            </w:pPr>
            <w:r>
              <w:rPr>
                <w:bCs/>
                <w:sz w:val="24"/>
              </w:rPr>
              <w:t>6、噪声监测计划</w:t>
            </w:r>
          </w:p>
          <w:p>
            <w:pPr>
              <w:spacing w:line="360" w:lineRule="auto"/>
              <w:ind w:firstLine="480" w:firstLineChars="200"/>
              <w:rPr>
                <w:bCs/>
                <w:sz w:val="24"/>
              </w:rPr>
            </w:pPr>
            <w:r>
              <w:rPr>
                <w:sz w:val="24"/>
              </w:rPr>
              <w:t>参照《排污单位自行监测技术指南 总则》（HJ 819-2017），厂界环境噪声每季度至少开展一次监测，夜间生产的要监测夜间噪声。</w:t>
            </w:r>
            <w:r>
              <w:rPr>
                <w:bCs/>
                <w:sz w:val="24"/>
              </w:rPr>
              <w:t>本项目边界噪声监测计划见下表：</w:t>
            </w:r>
          </w:p>
          <w:p>
            <w:pPr>
              <w:pStyle w:val="71"/>
              <w:rPr>
                <w:rFonts w:cs="Times New Roman"/>
              </w:rPr>
            </w:pPr>
            <w:r>
              <w:rPr>
                <w:rFonts w:cs="Times New Roman"/>
              </w:rPr>
              <w:t>表4-16    项目噪声监测计划一览表</w:t>
            </w:r>
          </w:p>
          <w:tbl>
            <w:tblPr>
              <w:tblStyle w:val="25"/>
              <w:tblW w:w="83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2"/>
              <w:gridCol w:w="859"/>
              <w:gridCol w:w="1048"/>
              <w:gridCol w:w="1435"/>
              <w:gridCol w:w="686"/>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512" w:type="dxa"/>
                  <w:vAlign w:val="center"/>
                </w:tcPr>
                <w:p>
                  <w:pPr>
                    <w:pStyle w:val="75"/>
                    <w:spacing w:before="24" w:after="24"/>
                  </w:pPr>
                  <w:r>
                    <w:t>序号</w:t>
                  </w:r>
                </w:p>
              </w:tc>
              <w:tc>
                <w:tcPr>
                  <w:tcW w:w="859" w:type="dxa"/>
                  <w:vAlign w:val="center"/>
                </w:tcPr>
                <w:p>
                  <w:pPr>
                    <w:pStyle w:val="75"/>
                    <w:spacing w:before="24" w:after="24"/>
                  </w:pPr>
                  <w:r>
                    <w:t>类别</w:t>
                  </w:r>
                </w:p>
              </w:tc>
              <w:tc>
                <w:tcPr>
                  <w:tcW w:w="1048" w:type="dxa"/>
                  <w:vAlign w:val="center"/>
                </w:tcPr>
                <w:p>
                  <w:pPr>
                    <w:pStyle w:val="75"/>
                    <w:spacing w:before="24" w:after="24"/>
                  </w:pPr>
                  <w:r>
                    <w:t>监测点位</w:t>
                  </w:r>
                </w:p>
              </w:tc>
              <w:tc>
                <w:tcPr>
                  <w:tcW w:w="1435" w:type="dxa"/>
                  <w:vAlign w:val="center"/>
                </w:tcPr>
                <w:p>
                  <w:pPr>
                    <w:pStyle w:val="75"/>
                    <w:spacing w:before="24" w:after="24"/>
                  </w:pPr>
                  <w:r>
                    <w:t>监测项目</w:t>
                  </w:r>
                </w:p>
              </w:tc>
              <w:tc>
                <w:tcPr>
                  <w:tcW w:w="686" w:type="dxa"/>
                  <w:vAlign w:val="center"/>
                </w:tcPr>
                <w:p>
                  <w:pPr>
                    <w:pStyle w:val="75"/>
                    <w:spacing w:before="24" w:after="24"/>
                  </w:pPr>
                  <w:r>
                    <w:t>监测频率</w:t>
                  </w:r>
                </w:p>
              </w:tc>
              <w:tc>
                <w:tcPr>
                  <w:tcW w:w="3827" w:type="dxa"/>
                  <w:vAlign w:val="center"/>
                </w:tcPr>
                <w:p>
                  <w:pPr>
                    <w:pStyle w:val="75"/>
                    <w:spacing w:before="24" w:after="24"/>
                  </w:pPr>
                  <w: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3" w:hRule="atLeast"/>
                <w:jc w:val="center"/>
              </w:trPr>
              <w:tc>
                <w:tcPr>
                  <w:tcW w:w="512" w:type="dxa"/>
                  <w:vAlign w:val="center"/>
                </w:tcPr>
                <w:p>
                  <w:pPr>
                    <w:pStyle w:val="75"/>
                    <w:spacing w:before="24" w:after="24"/>
                  </w:pPr>
                  <w:r>
                    <w:t>1</w:t>
                  </w:r>
                </w:p>
              </w:tc>
              <w:tc>
                <w:tcPr>
                  <w:tcW w:w="859" w:type="dxa"/>
                  <w:vAlign w:val="center"/>
                </w:tcPr>
                <w:p>
                  <w:pPr>
                    <w:pStyle w:val="75"/>
                    <w:spacing w:before="24" w:after="24"/>
                  </w:pPr>
                  <w:r>
                    <w:t>噪声达标监测</w:t>
                  </w:r>
                </w:p>
              </w:tc>
              <w:tc>
                <w:tcPr>
                  <w:tcW w:w="1048" w:type="dxa"/>
                  <w:vAlign w:val="center"/>
                </w:tcPr>
                <w:p>
                  <w:pPr>
                    <w:pStyle w:val="75"/>
                    <w:spacing w:before="24" w:after="24"/>
                  </w:pPr>
                  <w:r>
                    <w:t>项目厂界外1m处</w:t>
                  </w:r>
                </w:p>
              </w:tc>
              <w:tc>
                <w:tcPr>
                  <w:tcW w:w="1435" w:type="dxa"/>
                  <w:vAlign w:val="center"/>
                </w:tcPr>
                <w:p>
                  <w:pPr>
                    <w:pStyle w:val="75"/>
                    <w:spacing w:before="24" w:after="24"/>
                  </w:pPr>
                  <w:r>
                    <w:t>昼、夜间等效连续A声级</w:t>
                  </w:r>
                </w:p>
              </w:tc>
              <w:tc>
                <w:tcPr>
                  <w:tcW w:w="686" w:type="dxa"/>
                  <w:vAlign w:val="center"/>
                </w:tcPr>
                <w:p>
                  <w:pPr>
                    <w:pStyle w:val="75"/>
                    <w:spacing w:before="24" w:after="24"/>
                  </w:pPr>
                  <w:r>
                    <w:t>1次/季</w:t>
                  </w:r>
                </w:p>
              </w:tc>
              <w:tc>
                <w:tcPr>
                  <w:tcW w:w="3827" w:type="dxa"/>
                  <w:vAlign w:val="center"/>
                </w:tcPr>
                <w:p>
                  <w:pPr>
                    <w:pStyle w:val="75"/>
                    <w:spacing w:before="24" w:after="24"/>
                  </w:pPr>
                  <w:r>
                    <w:t>《工业企业厂界环境噪声排放标准》（GB12348-2008）2类标准要求</w:t>
                  </w:r>
                </w:p>
              </w:tc>
            </w:tr>
          </w:tbl>
          <w:p>
            <w:pPr>
              <w:spacing w:line="360" w:lineRule="auto"/>
              <w:ind w:firstLine="482" w:firstLineChars="200"/>
              <w:rPr>
                <w:b/>
                <w:bCs/>
                <w:kern w:val="0"/>
                <w:sz w:val="24"/>
              </w:rPr>
            </w:pPr>
            <w:r>
              <w:rPr>
                <w:b/>
                <w:bCs/>
                <w:kern w:val="0"/>
                <w:sz w:val="24"/>
              </w:rPr>
              <w:t>4.2.4、固体废物环境影响分析</w:t>
            </w:r>
          </w:p>
          <w:p>
            <w:pPr>
              <w:spacing w:line="360" w:lineRule="auto"/>
              <w:ind w:firstLine="480" w:firstLineChars="200"/>
              <w:rPr>
                <w:kern w:val="0"/>
                <w:sz w:val="24"/>
                <w:lang w:val="zh-CN"/>
              </w:rPr>
            </w:pPr>
            <w:r>
              <w:rPr>
                <w:kern w:val="0"/>
                <w:sz w:val="24"/>
                <w:lang w:val="zh-CN"/>
              </w:rPr>
              <w:t>1、固体废物产排分析</w:t>
            </w:r>
          </w:p>
          <w:p>
            <w:pPr>
              <w:pStyle w:val="80"/>
            </w:pPr>
            <w:r>
              <w:t>本项目固体废物分为一般固废及危险废物，一般固废包括生活垃圾、初期雨水收集池污泥；危险废物包括废机油及废润滑油。</w:t>
            </w:r>
          </w:p>
          <w:p>
            <w:pPr>
              <w:pStyle w:val="80"/>
            </w:pPr>
            <w:r>
              <w:t>（1）一般固废环境影响分析</w:t>
            </w:r>
          </w:p>
          <w:p>
            <w:pPr>
              <w:pStyle w:val="80"/>
            </w:pPr>
            <w:r>
              <w:t>生活垃圾</w:t>
            </w:r>
          </w:p>
          <w:p>
            <w:pPr>
              <w:pStyle w:val="80"/>
            </w:pPr>
            <w:r>
              <w:t>项目运营期生活垃圾产生量为1.5t/a，本环评提出项目区内设可回收垃圾桶3个，不可回收垃圾桶5个，垃圾通过分类收集后，可回收利用的回收后外卖给废品收购站，不可回收利用的收集后定期运到白石镇环卫部门指定地点堆存，委托环卫部门统一清运处理。</w:t>
            </w:r>
          </w:p>
          <w:p>
            <w:pPr>
              <w:pStyle w:val="80"/>
            </w:pPr>
            <w:r>
              <w:t>初期雨水收集池污泥</w:t>
            </w:r>
          </w:p>
          <w:p>
            <w:pPr>
              <w:spacing w:line="360" w:lineRule="auto"/>
              <w:ind w:firstLine="480" w:firstLineChars="200"/>
              <w:rPr>
                <w:sz w:val="24"/>
              </w:rPr>
            </w:pPr>
            <w:r>
              <w:rPr>
                <w:sz w:val="24"/>
              </w:rPr>
              <w:t>初期雨水收集池污泥受当地降雨量、地面尘土量影响，类比同类项目：初期雨水收集池污泥产生量为1.0t/a，可外卖用于制砖或铺路等。</w:t>
            </w:r>
          </w:p>
          <w:p>
            <w:pPr>
              <w:pStyle w:val="80"/>
            </w:pPr>
            <w:r>
              <w:t>2、危险废物环境影响分析</w:t>
            </w:r>
          </w:p>
          <w:p>
            <w:pPr>
              <w:spacing w:line="360" w:lineRule="auto"/>
              <w:ind w:firstLine="480" w:firstLineChars="200"/>
              <w:rPr>
                <w:sz w:val="24"/>
              </w:rPr>
            </w:pPr>
            <w:r>
              <w:rPr>
                <w:sz w:val="24"/>
              </w:rPr>
              <w:t>本项目危险废物包括废机油、废润滑油，产生量约为0.7t。</w:t>
            </w:r>
          </w:p>
          <w:p>
            <w:pPr>
              <w:pStyle w:val="71"/>
              <w:rPr>
                <w:rFonts w:cs="Times New Roman"/>
              </w:rPr>
            </w:pPr>
            <w:r>
              <w:rPr>
                <w:rFonts w:cs="Times New Roman"/>
              </w:rPr>
              <w:t xml:space="preserve">表4-17    固体废物信息表  </w:t>
            </w:r>
            <w:r>
              <w:rPr>
                <w:rFonts w:cs="Times New Roman"/>
                <w:b w:val="0"/>
              </w:rPr>
              <w:t>单位：t/a</w:t>
            </w:r>
          </w:p>
          <w:tbl>
            <w:tblPr>
              <w:tblStyle w:val="25"/>
              <w:tblW w:w="8367"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44"/>
              <w:gridCol w:w="744"/>
              <w:gridCol w:w="744"/>
              <w:gridCol w:w="1056"/>
              <w:gridCol w:w="636"/>
              <w:gridCol w:w="563"/>
              <w:gridCol w:w="1510"/>
              <w:gridCol w:w="1272"/>
              <w:gridCol w:w="535"/>
              <w:gridCol w:w="56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trPr>
              <w:tc>
                <w:tcPr>
                  <w:tcW w:w="744" w:type="dxa"/>
                  <w:vAlign w:val="center"/>
                </w:tcPr>
                <w:p>
                  <w:pPr>
                    <w:pStyle w:val="75"/>
                    <w:spacing w:before="24" w:after="24"/>
                    <w:rPr>
                      <w:sz w:val="18"/>
                      <w:szCs w:val="18"/>
                    </w:rPr>
                  </w:pPr>
                  <w:r>
                    <w:rPr>
                      <w:sz w:val="18"/>
                      <w:szCs w:val="18"/>
                    </w:rPr>
                    <w:t>产污环节名称</w:t>
                  </w:r>
                </w:p>
              </w:tc>
              <w:tc>
                <w:tcPr>
                  <w:tcW w:w="744" w:type="dxa"/>
                  <w:vAlign w:val="center"/>
                </w:tcPr>
                <w:p>
                  <w:pPr>
                    <w:pStyle w:val="75"/>
                    <w:spacing w:before="24" w:after="24"/>
                    <w:rPr>
                      <w:sz w:val="18"/>
                      <w:szCs w:val="18"/>
                    </w:rPr>
                  </w:pPr>
                  <w:r>
                    <w:rPr>
                      <w:sz w:val="18"/>
                      <w:szCs w:val="18"/>
                    </w:rPr>
                    <w:t>固体废物名称</w:t>
                  </w:r>
                </w:p>
              </w:tc>
              <w:tc>
                <w:tcPr>
                  <w:tcW w:w="744" w:type="dxa"/>
                  <w:vAlign w:val="center"/>
                </w:tcPr>
                <w:p>
                  <w:pPr>
                    <w:pStyle w:val="75"/>
                    <w:spacing w:before="24" w:after="24"/>
                    <w:rPr>
                      <w:sz w:val="18"/>
                      <w:szCs w:val="18"/>
                    </w:rPr>
                  </w:pPr>
                  <w:r>
                    <w:rPr>
                      <w:sz w:val="18"/>
                      <w:szCs w:val="18"/>
                    </w:rPr>
                    <w:t>属性</w:t>
                  </w:r>
                </w:p>
              </w:tc>
              <w:tc>
                <w:tcPr>
                  <w:tcW w:w="1056" w:type="dxa"/>
                  <w:vAlign w:val="center"/>
                </w:tcPr>
                <w:p>
                  <w:pPr>
                    <w:pStyle w:val="75"/>
                    <w:spacing w:before="24" w:after="24"/>
                    <w:rPr>
                      <w:sz w:val="18"/>
                      <w:szCs w:val="18"/>
                    </w:rPr>
                  </w:pPr>
                  <w:r>
                    <w:rPr>
                      <w:sz w:val="18"/>
                      <w:szCs w:val="18"/>
                    </w:rPr>
                    <w:t>编号</w:t>
                  </w:r>
                </w:p>
              </w:tc>
              <w:tc>
                <w:tcPr>
                  <w:tcW w:w="636" w:type="dxa"/>
                  <w:vAlign w:val="center"/>
                </w:tcPr>
                <w:p>
                  <w:pPr>
                    <w:pStyle w:val="75"/>
                    <w:spacing w:before="24" w:after="24"/>
                    <w:rPr>
                      <w:sz w:val="18"/>
                      <w:szCs w:val="18"/>
                    </w:rPr>
                  </w:pPr>
                  <w:r>
                    <w:rPr>
                      <w:sz w:val="18"/>
                      <w:szCs w:val="18"/>
                    </w:rPr>
                    <w:t>物理性状</w:t>
                  </w:r>
                </w:p>
              </w:tc>
              <w:tc>
                <w:tcPr>
                  <w:tcW w:w="563" w:type="dxa"/>
                  <w:vAlign w:val="center"/>
                </w:tcPr>
                <w:p>
                  <w:pPr>
                    <w:pStyle w:val="75"/>
                    <w:spacing w:before="24" w:after="24"/>
                    <w:rPr>
                      <w:sz w:val="18"/>
                      <w:szCs w:val="18"/>
                    </w:rPr>
                  </w:pPr>
                  <w:r>
                    <w:rPr>
                      <w:sz w:val="18"/>
                      <w:szCs w:val="18"/>
                    </w:rPr>
                    <w:t>产生量</w:t>
                  </w:r>
                </w:p>
              </w:tc>
              <w:tc>
                <w:tcPr>
                  <w:tcW w:w="1510" w:type="dxa"/>
                  <w:vAlign w:val="center"/>
                </w:tcPr>
                <w:p>
                  <w:pPr>
                    <w:pStyle w:val="75"/>
                    <w:spacing w:before="24" w:after="24"/>
                    <w:rPr>
                      <w:sz w:val="18"/>
                      <w:szCs w:val="18"/>
                    </w:rPr>
                  </w:pPr>
                  <w:r>
                    <w:rPr>
                      <w:sz w:val="18"/>
                      <w:szCs w:val="18"/>
                    </w:rPr>
                    <w:t>贮存方式</w:t>
                  </w:r>
                </w:p>
              </w:tc>
              <w:tc>
                <w:tcPr>
                  <w:tcW w:w="1272" w:type="dxa"/>
                  <w:vAlign w:val="center"/>
                </w:tcPr>
                <w:p>
                  <w:pPr>
                    <w:pStyle w:val="75"/>
                    <w:spacing w:before="24" w:after="24"/>
                    <w:rPr>
                      <w:sz w:val="18"/>
                      <w:szCs w:val="18"/>
                    </w:rPr>
                  </w:pPr>
                  <w:r>
                    <w:rPr>
                      <w:sz w:val="18"/>
                      <w:szCs w:val="18"/>
                    </w:rPr>
                    <w:t>利用处置方式</w:t>
                  </w:r>
                </w:p>
              </w:tc>
              <w:tc>
                <w:tcPr>
                  <w:tcW w:w="535" w:type="dxa"/>
                  <w:vAlign w:val="center"/>
                </w:tcPr>
                <w:p>
                  <w:pPr>
                    <w:pStyle w:val="75"/>
                    <w:spacing w:before="24" w:after="24"/>
                    <w:rPr>
                      <w:sz w:val="18"/>
                      <w:szCs w:val="18"/>
                    </w:rPr>
                  </w:pPr>
                  <w:r>
                    <w:rPr>
                      <w:sz w:val="18"/>
                      <w:szCs w:val="18"/>
                    </w:rPr>
                    <w:t>利用量</w:t>
                  </w:r>
                </w:p>
              </w:tc>
              <w:tc>
                <w:tcPr>
                  <w:tcW w:w="563" w:type="dxa"/>
                  <w:vAlign w:val="center"/>
                </w:tcPr>
                <w:p>
                  <w:pPr>
                    <w:pStyle w:val="75"/>
                    <w:spacing w:before="24" w:after="24"/>
                    <w:rPr>
                      <w:sz w:val="18"/>
                      <w:szCs w:val="18"/>
                    </w:rPr>
                  </w:pPr>
                  <w:r>
                    <w:rPr>
                      <w:sz w:val="18"/>
                      <w:szCs w:val="18"/>
                    </w:rPr>
                    <w:t>处置量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8" w:hRule="atLeast"/>
              </w:trPr>
              <w:tc>
                <w:tcPr>
                  <w:tcW w:w="744" w:type="dxa"/>
                  <w:vAlign w:val="center"/>
                </w:tcPr>
                <w:p>
                  <w:pPr>
                    <w:pStyle w:val="75"/>
                    <w:spacing w:before="24" w:after="24"/>
                    <w:rPr>
                      <w:sz w:val="18"/>
                      <w:szCs w:val="18"/>
                    </w:rPr>
                  </w:pPr>
                  <w:r>
                    <w:rPr>
                      <w:sz w:val="18"/>
                      <w:szCs w:val="18"/>
                    </w:rPr>
                    <w:t>设备维护</w:t>
                  </w:r>
                </w:p>
              </w:tc>
              <w:tc>
                <w:tcPr>
                  <w:tcW w:w="744" w:type="dxa"/>
                  <w:vAlign w:val="center"/>
                </w:tcPr>
                <w:p>
                  <w:pPr>
                    <w:pStyle w:val="75"/>
                    <w:spacing w:before="24" w:after="24"/>
                    <w:rPr>
                      <w:sz w:val="18"/>
                      <w:szCs w:val="18"/>
                    </w:rPr>
                  </w:pPr>
                  <w:r>
                    <w:rPr>
                      <w:sz w:val="18"/>
                      <w:szCs w:val="18"/>
                    </w:rPr>
                    <w:t>废液压油等</w:t>
                  </w:r>
                </w:p>
              </w:tc>
              <w:tc>
                <w:tcPr>
                  <w:tcW w:w="744" w:type="dxa"/>
                  <w:vAlign w:val="center"/>
                </w:tcPr>
                <w:p>
                  <w:pPr>
                    <w:pStyle w:val="75"/>
                    <w:spacing w:before="24" w:after="24"/>
                    <w:rPr>
                      <w:sz w:val="18"/>
                      <w:szCs w:val="18"/>
                    </w:rPr>
                  </w:pPr>
                  <w:r>
                    <w:rPr>
                      <w:sz w:val="18"/>
                      <w:szCs w:val="18"/>
                    </w:rPr>
                    <w:t>危险废物</w:t>
                  </w:r>
                </w:p>
              </w:tc>
              <w:tc>
                <w:tcPr>
                  <w:tcW w:w="1056" w:type="dxa"/>
                  <w:vAlign w:val="center"/>
                </w:tcPr>
                <w:p>
                  <w:pPr>
                    <w:pStyle w:val="75"/>
                    <w:spacing w:before="24" w:after="24"/>
                    <w:rPr>
                      <w:sz w:val="18"/>
                      <w:szCs w:val="18"/>
                    </w:rPr>
                  </w:pPr>
                  <w:r>
                    <w:rPr>
                      <w:sz w:val="18"/>
                      <w:szCs w:val="18"/>
                    </w:rPr>
                    <w:t>900-214-08</w:t>
                  </w:r>
                </w:p>
              </w:tc>
              <w:tc>
                <w:tcPr>
                  <w:tcW w:w="636" w:type="dxa"/>
                  <w:vAlign w:val="center"/>
                </w:tcPr>
                <w:p>
                  <w:pPr>
                    <w:pStyle w:val="75"/>
                    <w:spacing w:before="24" w:after="24"/>
                    <w:rPr>
                      <w:sz w:val="18"/>
                      <w:szCs w:val="18"/>
                    </w:rPr>
                  </w:pPr>
                  <w:r>
                    <w:rPr>
                      <w:sz w:val="18"/>
                      <w:szCs w:val="18"/>
                    </w:rPr>
                    <w:t>液</w:t>
                  </w:r>
                </w:p>
              </w:tc>
              <w:tc>
                <w:tcPr>
                  <w:tcW w:w="563" w:type="dxa"/>
                  <w:vAlign w:val="center"/>
                </w:tcPr>
                <w:p>
                  <w:pPr>
                    <w:pStyle w:val="75"/>
                    <w:spacing w:before="24" w:after="24"/>
                    <w:rPr>
                      <w:sz w:val="18"/>
                      <w:szCs w:val="18"/>
                    </w:rPr>
                  </w:pPr>
                  <w:r>
                    <w:rPr>
                      <w:sz w:val="18"/>
                      <w:szCs w:val="18"/>
                    </w:rPr>
                    <w:t>0.7</w:t>
                  </w:r>
                </w:p>
              </w:tc>
              <w:tc>
                <w:tcPr>
                  <w:tcW w:w="1510" w:type="dxa"/>
                  <w:vAlign w:val="center"/>
                </w:tcPr>
                <w:p>
                  <w:pPr>
                    <w:pStyle w:val="75"/>
                    <w:spacing w:before="24" w:after="24"/>
                    <w:rPr>
                      <w:sz w:val="18"/>
                      <w:szCs w:val="18"/>
                    </w:rPr>
                  </w:pPr>
                  <w:r>
                    <w:rPr>
                      <w:sz w:val="18"/>
                      <w:szCs w:val="18"/>
                    </w:rPr>
                    <w:t>收集后暂存于危险废物暂存间</w:t>
                  </w:r>
                </w:p>
              </w:tc>
              <w:tc>
                <w:tcPr>
                  <w:tcW w:w="1272" w:type="dxa"/>
                  <w:vAlign w:val="center"/>
                </w:tcPr>
                <w:p>
                  <w:pPr>
                    <w:pStyle w:val="75"/>
                    <w:spacing w:before="24" w:after="24"/>
                    <w:rPr>
                      <w:sz w:val="18"/>
                      <w:szCs w:val="18"/>
                    </w:rPr>
                  </w:pPr>
                  <w:r>
                    <w:rPr>
                      <w:sz w:val="18"/>
                      <w:szCs w:val="18"/>
                    </w:rPr>
                    <w:t>定期送有资质单位处理。</w:t>
                  </w:r>
                </w:p>
              </w:tc>
              <w:tc>
                <w:tcPr>
                  <w:tcW w:w="535" w:type="dxa"/>
                  <w:vAlign w:val="center"/>
                </w:tcPr>
                <w:p>
                  <w:pPr>
                    <w:pStyle w:val="75"/>
                    <w:spacing w:before="24" w:after="24"/>
                    <w:rPr>
                      <w:sz w:val="18"/>
                      <w:szCs w:val="18"/>
                    </w:rPr>
                  </w:pPr>
                  <w:r>
                    <w:rPr>
                      <w:sz w:val="18"/>
                      <w:szCs w:val="18"/>
                    </w:rPr>
                    <w:t>0</w:t>
                  </w:r>
                </w:p>
              </w:tc>
              <w:tc>
                <w:tcPr>
                  <w:tcW w:w="563" w:type="dxa"/>
                  <w:vAlign w:val="center"/>
                </w:tcPr>
                <w:p>
                  <w:pPr>
                    <w:pStyle w:val="75"/>
                    <w:spacing w:before="24" w:after="24"/>
                    <w:rPr>
                      <w:sz w:val="18"/>
                      <w:szCs w:val="18"/>
                    </w:rPr>
                  </w:pPr>
                  <w:r>
                    <w:rPr>
                      <w:sz w:val="18"/>
                      <w:szCs w:val="18"/>
                    </w:rPr>
                    <w:t>0.7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744" w:type="dxa"/>
                  <w:vAlign w:val="center"/>
                </w:tcPr>
                <w:p>
                  <w:pPr>
                    <w:pStyle w:val="75"/>
                    <w:spacing w:before="24" w:after="24"/>
                    <w:rPr>
                      <w:sz w:val="18"/>
                      <w:szCs w:val="18"/>
                    </w:rPr>
                  </w:pPr>
                  <w:r>
                    <w:rPr>
                      <w:sz w:val="18"/>
                      <w:szCs w:val="18"/>
                    </w:rPr>
                    <w:t>环保设施</w:t>
                  </w:r>
                </w:p>
              </w:tc>
              <w:tc>
                <w:tcPr>
                  <w:tcW w:w="744" w:type="dxa"/>
                  <w:vAlign w:val="center"/>
                </w:tcPr>
                <w:p>
                  <w:pPr>
                    <w:pStyle w:val="75"/>
                    <w:spacing w:before="24" w:after="24"/>
                    <w:rPr>
                      <w:sz w:val="18"/>
                      <w:szCs w:val="18"/>
                    </w:rPr>
                  </w:pPr>
                  <w:r>
                    <w:rPr>
                      <w:sz w:val="18"/>
                      <w:szCs w:val="18"/>
                    </w:rPr>
                    <w:t>沉淀池沉渣</w:t>
                  </w:r>
                </w:p>
              </w:tc>
              <w:tc>
                <w:tcPr>
                  <w:tcW w:w="744" w:type="dxa"/>
                  <w:vAlign w:val="center"/>
                </w:tcPr>
                <w:p>
                  <w:pPr>
                    <w:pStyle w:val="75"/>
                    <w:spacing w:before="24" w:after="24"/>
                    <w:rPr>
                      <w:sz w:val="18"/>
                      <w:szCs w:val="18"/>
                    </w:rPr>
                  </w:pPr>
                  <w:r>
                    <w:rPr>
                      <w:sz w:val="18"/>
                      <w:szCs w:val="18"/>
                    </w:rPr>
                    <w:t>一般固体废物</w:t>
                  </w:r>
                </w:p>
              </w:tc>
              <w:tc>
                <w:tcPr>
                  <w:tcW w:w="1056" w:type="dxa"/>
                  <w:vAlign w:val="center"/>
                </w:tcPr>
                <w:p>
                  <w:pPr>
                    <w:pStyle w:val="75"/>
                    <w:spacing w:before="24" w:after="24"/>
                    <w:rPr>
                      <w:sz w:val="18"/>
                      <w:szCs w:val="18"/>
                    </w:rPr>
                  </w:pPr>
                  <w:r>
                    <w:rPr>
                      <w:sz w:val="18"/>
                      <w:szCs w:val="18"/>
                    </w:rPr>
                    <w:t>900-999-61</w:t>
                  </w:r>
                </w:p>
              </w:tc>
              <w:tc>
                <w:tcPr>
                  <w:tcW w:w="636" w:type="dxa"/>
                  <w:vAlign w:val="center"/>
                </w:tcPr>
                <w:p>
                  <w:pPr>
                    <w:pStyle w:val="75"/>
                    <w:spacing w:before="24" w:after="24"/>
                    <w:rPr>
                      <w:sz w:val="18"/>
                      <w:szCs w:val="18"/>
                    </w:rPr>
                  </w:pPr>
                  <w:r>
                    <w:rPr>
                      <w:sz w:val="18"/>
                      <w:szCs w:val="18"/>
                    </w:rPr>
                    <w:t>固</w:t>
                  </w:r>
                </w:p>
              </w:tc>
              <w:tc>
                <w:tcPr>
                  <w:tcW w:w="563" w:type="dxa"/>
                  <w:vAlign w:val="center"/>
                </w:tcPr>
                <w:p>
                  <w:pPr>
                    <w:pStyle w:val="75"/>
                    <w:spacing w:before="24" w:after="24"/>
                    <w:rPr>
                      <w:sz w:val="18"/>
                      <w:szCs w:val="18"/>
                    </w:rPr>
                  </w:pPr>
                  <w:r>
                    <w:rPr>
                      <w:sz w:val="18"/>
                      <w:szCs w:val="18"/>
                    </w:rPr>
                    <w:t>1</w:t>
                  </w:r>
                </w:p>
              </w:tc>
              <w:tc>
                <w:tcPr>
                  <w:tcW w:w="1510" w:type="dxa"/>
                  <w:vAlign w:val="center"/>
                </w:tcPr>
                <w:p>
                  <w:pPr>
                    <w:pStyle w:val="75"/>
                    <w:spacing w:before="24" w:after="24"/>
                    <w:rPr>
                      <w:sz w:val="18"/>
                      <w:szCs w:val="18"/>
                    </w:rPr>
                  </w:pPr>
                  <w:r>
                    <w:rPr>
                      <w:sz w:val="18"/>
                      <w:szCs w:val="18"/>
                    </w:rPr>
                    <w:t>分类存放于一般工业固体废物暂存库内</w:t>
                  </w:r>
                </w:p>
              </w:tc>
              <w:tc>
                <w:tcPr>
                  <w:tcW w:w="1272" w:type="dxa"/>
                  <w:vAlign w:val="center"/>
                </w:tcPr>
                <w:p>
                  <w:pPr>
                    <w:pStyle w:val="75"/>
                    <w:spacing w:before="24" w:after="24"/>
                    <w:rPr>
                      <w:sz w:val="18"/>
                      <w:szCs w:val="18"/>
                    </w:rPr>
                  </w:pPr>
                  <w:r>
                    <w:rPr>
                      <w:sz w:val="18"/>
                      <w:szCs w:val="18"/>
                    </w:rPr>
                    <w:t>外卖用于制砖或铺路等</w:t>
                  </w:r>
                </w:p>
              </w:tc>
              <w:tc>
                <w:tcPr>
                  <w:tcW w:w="535" w:type="dxa"/>
                  <w:vAlign w:val="center"/>
                </w:tcPr>
                <w:p>
                  <w:pPr>
                    <w:pStyle w:val="75"/>
                    <w:spacing w:before="24" w:after="24"/>
                    <w:rPr>
                      <w:sz w:val="18"/>
                      <w:szCs w:val="18"/>
                    </w:rPr>
                  </w:pPr>
                  <w:r>
                    <w:rPr>
                      <w:sz w:val="18"/>
                      <w:szCs w:val="18"/>
                    </w:rPr>
                    <w:t>0</w:t>
                  </w:r>
                </w:p>
              </w:tc>
              <w:tc>
                <w:tcPr>
                  <w:tcW w:w="563" w:type="dxa"/>
                  <w:vAlign w:val="center"/>
                </w:tcPr>
                <w:p>
                  <w:pPr>
                    <w:pStyle w:val="75"/>
                    <w:spacing w:before="24" w:after="24"/>
                    <w:rPr>
                      <w:sz w:val="18"/>
                      <w:szCs w:val="18"/>
                    </w:rPr>
                  </w:pPr>
                  <w:r>
                    <w:rPr>
                      <w:sz w:val="18"/>
                      <w:szCs w:val="18"/>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744" w:type="dxa"/>
                  <w:vAlign w:val="center"/>
                </w:tcPr>
                <w:p>
                  <w:pPr>
                    <w:pStyle w:val="75"/>
                    <w:spacing w:before="24" w:after="24"/>
                    <w:rPr>
                      <w:sz w:val="18"/>
                      <w:szCs w:val="18"/>
                    </w:rPr>
                  </w:pPr>
                  <w:r>
                    <w:rPr>
                      <w:sz w:val="18"/>
                      <w:szCs w:val="18"/>
                    </w:rPr>
                    <w:t>办公生活</w:t>
                  </w:r>
                </w:p>
              </w:tc>
              <w:tc>
                <w:tcPr>
                  <w:tcW w:w="744" w:type="dxa"/>
                  <w:vAlign w:val="center"/>
                </w:tcPr>
                <w:p>
                  <w:pPr>
                    <w:pStyle w:val="75"/>
                    <w:spacing w:before="24" w:after="24"/>
                    <w:rPr>
                      <w:sz w:val="18"/>
                      <w:szCs w:val="18"/>
                    </w:rPr>
                  </w:pPr>
                  <w:r>
                    <w:rPr>
                      <w:sz w:val="18"/>
                      <w:szCs w:val="18"/>
                    </w:rPr>
                    <w:t>生活垃圾</w:t>
                  </w:r>
                </w:p>
              </w:tc>
              <w:tc>
                <w:tcPr>
                  <w:tcW w:w="744" w:type="dxa"/>
                  <w:vAlign w:val="center"/>
                </w:tcPr>
                <w:p>
                  <w:pPr>
                    <w:pStyle w:val="75"/>
                    <w:spacing w:before="24" w:after="24"/>
                    <w:rPr>
                      <w:sz w:val="18"/>
                      <w:szCs w:val="18"/>
                    </w:rPr>
                  </w:pPr>
                  <w:r>
                    <w:rPr>
                      <w:sz w:val="18"/>
                      <w:szCs w:val="18"/>
                    </w:rPr>
                    <w:t>生活垃圾</w:t>
                  </w:r>
                </w:p>
              </w:tc>
              <w:tc>
                <w:tcPr>
                  <w:tcW w:w="1056" w:type="dxa"/>
                  <w:vAlign w:val="center"/>
                </w:tcPr>
                <w:p>
                  <w:pPr>
                    <w:pStyle w:val="75"/>
                    <w:spacing w:before="24" w:after="24"/>
                    <w:rPr>
                      <w:sz w:val="18"/>
                      <w:szCs w:val="18"/>
                    </w:rPr>
                  </w:pPr>
                  <w:r>
                    <w:rPr>
                      <w:sz w:val="18"/>
                      <w:szCs w:val="18"/>
                    </w:rPr>
                    <w:t>/</w:t>
                  </w:r>
                </w:p>
              </w:tc>
              <w:tc>
                <w:tcPr>
                  <w:tcW w:w="636" w:type="dxa"/>
                  <w:vAlign w:val="center"/>
                </w:tcPr>
                <w:p>
                  <w:pPr>
                    <w:pStyle w:val="75"/>
                    <w:spacing w:before="24" w:after="24"/>
                    <w:rPr>
                      <w:sz w:val="18"/>
                      <w:szCs w:val="18"/>
                    </w:rPr>
                  </w:pPr>
                  <w:r>
                    <w:rPr>
                      <w:sz w:val="18"/>
                      <w:szCs w:val="18"/>
                    </w:rPr>
                    <w:t>固</w:t>
                  </w:r>
                </w:p>
              </w:tc>
              <w:tc>
                <w:tcPr>
                  <w:tcW w:w="563" w:type="dxa"/>
                  <w:vAlign w:val="center"/>
                </w:tcPr>
                <w:p>
                  <w:pPr>
                    <w:pStyle w:val="75"/>
                    <w:spacing w:before="24" w:after="24"/>
                    <w:rPr>
                      <w:sz w:val="18"/>
                      <w:szCs w:val="18"/>
                    </w:rPr>
                  </w:pPr>
                  <w:r>
                    <w:rPr>
                      <w:sz w:val="18"/>
                      <w:szCs w:val="18"/>
                    </w:rPr>
                    <w:t>1.5</w:t>
                  </w:r>
                </w:p>
              </w:tc>
              <w:tc>
                <w:tcPr>
                  <w:tcW w:w="1510" w:type="dxa"/>
                  <w:vAlign w:val="center"/>
                </w:tcPr>
                <w:p>
                  <w:pPr>
                    <w:pStyle w:val="75"/>
                    <w:spacing w:before="24" w:after="24"/>
                    <w:rPr>
                      <w:sz w:val="18"/>
                      <w:szCs w:val="18"/>
                    </w:rPr>
                  </w:pPr>
                  <w:r>
                    <w:rPr>
                      <w:sz w:val="18"/>
                      <w:szCs w:val="18"/>
                    </w:rPr>
                    <w:t>厂内垃圾桶收集</w:t>
                  </w:r>
                </w:p>
              </w:tc>
              <w:tc>
                <w:tcPr>
                  <w:tcW w:w="1272" w:type="dxa"/>
                  <w:vAlign w:val="center"/>
                </w:tcPr>
                <w:p>
                  <w:pPr>
                    <w:pStyle w:val="75"/>
                    <w:spacing w:before="24" w:after="24"/>
                    <w:rPr>
                      <w:sz w:val="18"/>
                      <w:szCs w:val="18"/>
                    </w:rPr>
                  </w:pPr>
                  <w:r>
                    <w:rPr>
                      <w:sz w:val="18"/>
                      <w:szCs w:val="18"/>
                    </w:rPr>
                    <w:t>交由环卫部门统一集中处置</w:t>
                  </w:r>
                </w:p>
              </w:tc>
              <w:tc>
                <w:tcPr>
                  <w:tcW w:w="535" w:type="dxa"/>
                  <w:vAlign w:val="center"/>
                </w:tcPr>
                <w:p>
                  <w:pPr>
                    <w:pStyle w:val="75"/>
                    <w:spacing w:before="24" w:after="24"/>
                    <w:rPr>
                      <w:sz w:val="18"/>
                      <w:szCs w:val="18"/>
                    </w:rPr>
                  </w:pPr>
                  <w:r>
                    <w:rPr>
                      <w:sz w:val="18"/>
                      <w:szCs w:val="18"/>
                    </w:rPr>
                    <w:t>0</w:t>
                  </w:r>
                </w:p>
              </w:tc>
              <w:tc>
                <w:tcPr>
                  <w:tcW w:w="563" w:type="dxa"/>
                  <w:vAlign w:val="center"/>
                </w:tcPr>
                <w:p>
                  <w:pPr>
                    <w:pStyle w:val="75"/>
                    <w:spacing w:before="24" w:after="24"/>
                    <w:rPr>
                      <w:sz w:val="18"/>
                      <w:szCs w:val="18"/>
                    </w:rPr>
                  </w:pPr>
                  <w:r>
                    <w:rPr>
                      <w:sz w:val="18"/>
                      <w:szCs w:val="18"/>
                    </w:rPr>
                    <w:t>1.5</w:t>
                  </w:r>
                </w:p>
              </w:tc>
            </w:tr>
          </w:tbl>
          <w:p>
            <w:pPr>
              <w:pStyle w:val="71"/>
              <w:rPr>
                <w:rFonts w:cs="Times New Roman"/>
              </w:rPr>
            </w:pPr>
            <w:r>
              <w:rPr>
                <w:rFonts w:cs="Times New Roman"/>
              </w:rPr>
              <w:t>表4-17    危险废物属性表</w:t>
            </w:r>
          </w:p>
          <w:tbl>
            <w:tblPr>
              <w:tblStyle w:val="25"/>
              <w:tblW w:w="8367"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36"/>
              <w:gridCol w:w="975"/>
              <w:gridCol w:w="1142"/>
              <w:gridCol w:w="1342"/>
              <w:gridCol w:w="1413"/>
              <w:gridCol w:w="997"/>
              <w:gridCol w:w="196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536" w:type="dxa"/>
                  <w:vAlign w:val="center"/>
                </w:tcPr>
                <w:p>
                  <w:pPr>
                    <w:pStyle w:val="75"/>
                    <w:spacing w:before="24" w:after="24"/>
                  </w:pPr>
                  <w:r>
                    <w:t>序号</w:t>
                  </w:r>
                </w:p>
              </w:tc>
              <w:tc>
                <w:tcPr>
                  <w:tcW w:w="975" w:type="dxa"/>
                  <w:vAlign w:val="center"/>
                </w:tcPr>
                <w:p>
                  <w:pPr>
                    <w:pStyle w:val="75"/>
                    <w:spacing w:before="24" w:after="24"/>
                  </w:pPr>
                  <w:r>
                    <w:t>固体废物名称</w:t>
                  </w:r>
                </w:p>
              </w:tc>
              <w:tc>
                <w:tcPr>
                  <w:tcW w:w="1142" w:type="dxa"/>
                  <w:vAlign w:val="center"/>
                </w:tcPr>
                <w:p>
                  <w:pPr>
                    <w:pStyle w:val="75"/>
                    <w:spacing w:before="24" w:after="24"/>
                  </w:pPr>
                  <w:r>
                    <w:t>危险废物类别</w:t>
                  </w:r>
                </w:p>
              </w:tc>
              <w:tc>
                <w:tcPr>
                  <w:tcW w:w="1342" w:type="dxa"/>
                  <w:vAlign w:val="center"/>
                </w:tcPr>
                <w:p>
                  <w:pPr>
                    <w:pStyle w:val="75"/>
                    <w:spacing w:before="24" w:after="24"/>
                  </w:pPr>
                  <w:r>
                    <w:t>危险废物代码</w:t>
                  </w:r>
                </w:p>
              </w:tc>
              <w:tc>
                <w:tcPr>
                  <w:tcW w:w="1413" w:type="dxa"/>
                  <w:vAlign w:val="center"/>
                </w:tcPr>
                <w:p>
                  <w:pPr>
                    <w:pStyle w:val="75"/>
                    <w:spacing w:before="24" w:after="24"/>
                  </w:pPr>
                  <w:r>
                    <w:t>主要有毒有害物质名称</w:t>
                  </w:r>
                </w:p>
              </w:tc>
              <w:tc>
                <w:tcPr>
                  <w:tcW w:w="997" w:type="dxa"/>
                  <w:vAlign w:val="center"/>
                </w:tcPr>
                <w:p>
                  <w:pPr>
                    <w:pStyle w:val="75"/>
                    <w:spacing w:before="24" w:after="24"/>
                  </w:pPr>
                  <w:r>
                    <w:t>环境危险特性</w:t>
                  </w:r>
                </w:p>
              </w:tc>
              <w:tc>
                <w:tcPr>
                  <w:tcW w:w="1962" w:type="dxa"/>
                  <w:vAlign w:val="center"/>
                </w:tcPr>
                <w:p>
                  <w:pPr>
                    <w:pStyle w:val="75"/>
                    <w:spacing w:before="24" w:after="24"/>
                  </w:pPr>
                  <w:r>
                    <w:t>环境管理要求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536" w:type="dxa"/>
                  <w:vAlign w:val="center"/>
                </w:tcPr>
                <w:p>
                  <w:pPr>
                    <w:pStyle w:val="75"/>
                    <w:spacing w:before="24" w:after="24"/>
                  </w:pPr>
                  <w:r>
                    <w:t>1</w:t>
                  </w:r>
                </w:p>
              </w:tc>
              <w:tc>
                <w:tcPr>
                  <w:tcW w:w="975" w:type="dxa"/>
                  <w:vAlign w:val="center"/>
                </w:tcPr>
                <w:p>
                  <w:pPr>
                    <w:pStyle w:val="75"/>
                    <w:spacing w:before="24" w:after="24"/>
                  </w:pPr>
                  <w:r>
                    <w:t>废矿物油</w:t>
                  </w:r>
                </w:p>
              </w:tc>
              <w:tc>
                <w:tcPr>
                  <w:tcW w:w="1142" w:type="dxa"/>
                  <w:vAlign w:val="center"/>
                </w:tcPr>
                <w:p>
                  <w:pPr>
                    <w:pStyle w:val="75"/>
                    <w:spacing w:before="24" w:after="24"/>
                  </w:pPr>
                  <w:r>
                    <w:t>HW08</w:t>
                  </w:r>
                </w:p>
              </w:tc>
              <w:tc>
                <w:tcPr>
                  <w:tcW w:w="1342" w:type="dxa"/>
                  <w:vAlign w:val="center"/>
                </w:tcPr>
                <w:p>
                  <w:pPr>
                    <w:pStyle w:val="75"/>
                    <w:spacing w:before="24" w:after="24"/>
                  </w:pPr>
                  <w:r>
                    <w:t>900-214-08</w:t>
                  </w:r>
                </w:p>
              </w:tc>
              <w:tc>
                <w:tcPr>
                  <w:tcW w:w="1413" w:type="dxa"/>
                  <w:vAlign w:val="center"/>
                </w:tcPr>
                <w:p>
                  <w:pPr>
                    <w:pStyle w:val="75"/>
                    <w:spacing w:before="24" w:after="24"/>
                  </w:pPr>
                  <w:r>
                    <w:t>矿物油</w:t>
                  </w:r>
                </w:p>
              </w:tc>
              <w:tc>
                <w:tcPr>
                  <w:tcW w:w="997" w:type="dxa"/>
                  <w:vAlign w:val="center"/>
                </w:tcPr>
                <w:p>
                  <w:pPr>
                    <w:pStyle w:val="75"/>
                    <w:spacing w:before="24" w:after="24"/>
                  </w:pPr>
                  <w:r>
                    <w:t>T/I</w:t>
                  </w:r>
                </w:p>
              </w:tc>
              <w:tc>
                <w:tcPr>
                  <w:tcW w:w="1962" w:type="dxa"/>
                  <w:vAlign w:val="center"/>
                </w:tcPr>
                <w:p>
                  <w:pPr>
                    <w:pStyle w:val="75"/>
                    <w:spacing w:before="24" w:after="24"/>
                  </w:pPr>
                  <w:r>
                    <w:t>分类收集后分区暂存于危废暂存间</w:t>
                  </w:r>
                </w:p>
              </w:tc>
            </w:tr>
          </w:tbl>
          <w:p>
            <w:pPr>
              <w:spacing w:line="360" w:lineRule="auto"/>
              <w:ind w:firstLine="480" w:firstLineChars="200"/>
              <w:rPr>
                <w:kern w:val="0"/>
                <w:sz w:val="24"/>
              </w:rPr>
            </w:pPr>
            <w:r>
              <w:rPr>
                <w:kern w:val="0"/>
                <w:sz w:val="24"/>
              </w:rPr>
              <w:t>2、固体废物贮存方式、利用处置方式、环境管理要求</w:t>
            </w:r>
          </w:p>
          <w:p>
            <w:pPr>
              <w:spacing w:line="360" w:lineRule="auto"/>
              <w:ind w:firstLine="480" w:firstLineChars="200"/>
              <w:rPr>
                <w:kern w:val="0"/>
                <w:sz w:val="24"/>
              </w:rPr>
            </w:pPr>
            <w:r>
              <w:rPr>
                <w:rFonts w:hint="eastAsia" w:ascii="宋体" w:hAnsi="宋体" w:cs="宋体"/>
                <w:kern w:val="0"/>
                <w:sz w:val="24"/>
              </w:rPr>
              <w:t>①</w:t>
            </w:r>
            <w:r>
              <w:rPr>
                <w:kern w:val="0"/>
                <w:sz w:val="24"/>
              </w:rPr>
              <w:t>生活垃圾临时收集点应独立设置，并做好防雨、防晒、防渗措施，同时应定期对其进行杀菌消毒，杜绝蚊蝇孳生，影响周围环境卫生。</w:t>
            </w:r>
          </w:p>
          <w:p>
            <w:pPr>
              <w:spacing w:line="360" w:lineRule="auto"/>
              <w:ind w:firstLine="480" w:firstLineChars="200"/>
              <w:rPr>
                <w:kern w:val="0"/>
                <w:sz w:val="24"/>
              </w:rPr>
            </w:pPr>
            <w:r>
              <w:rPr>
                <w:rFonts w:hint="eastAsia" w:ascii="宋体" w:hAnsi="宋体" w:cs="宋体"/>
                <w:kern w:val="0"/>
                <w:sz w:val="24"/>
              </w:rPr>
              <w:t>②</w:t>
            </w:r>
            <w:r>
              <w:rPr>
                <w:kern w:val="0"/>
                <w:sz w:val="24"/>
              </w:rPr>
              <w:t>一般工业固体废弃物的临时收集点的设置应满足《一般工业固体废物贮存和填埋污染控制标准》(GB18599-2020)的相关要求，定期转移，严格控制暂存时间。</w:t>
            </w:r>
          </w:p>
          <w:p>
            <w:pPr>
              <w:spacing w:line="360" w:lineRule="auto"/>
              <w:ind w:firstLine="480" w:firstLineChars="200"/>
              <w:rPr>
                <w:kern w:val="0"/>
                <w:sz w:val="24"/>
              </w:rPr>
            </w:pPr>
            <w:r>
              <w:rPr>
                <w:rFonts w:hint="eastAsia" w:ascii="宋体" w:hAnsi="宋体" w:cs="宋体"/>
                <w:kern w:val="0"/>
                <w:sz w:val="24"/>
              </w:rPr>
              <w:t>③</w:t>
            </w:r>
            <w:r>
              <w:rPr>
                <w:kern w:val="0"/>
                <w:sz w:val="24"/>
              </w:rPr>
              <w:t>企业新建1间危废暂存间（位于生产车间，面积为5m</w:t>
            </w:r>
            <w:r>
              <w:rPr>
                <w:kern w:val="0"/>
                <w:sz w:val="24"/>
                <w:vertAlign w:val="superscript"/>
              </w:rPr>
              <w:t>2</w:t>
            </w:r>
            <w:r>
              <w:rPr>
                <w:kern w:val="0"/>
                <w:sz w:val="24"/>
              </w:rPr>
              <w:t>），本次环评要求：要严格按照《危险废物贮存污染控制标准》(GB18597-2001)及其修改单和《危险废物收集贮存运输技术规范》(HJ2025-2012)等标准进行完善和管理。建设方应按照《危险废物转移联单管理办法》办理有关转移手续，禁止随意倾倒或交给没有相应资质的公司或个人，防止发生意外风险事故。</w:t>
            </w:r>
          </w:p>
          <w:p>
            <w:pPr>
              <w:spacing w:line="360" w:lineRule="auto"/>
              <w:ind w:firstLine="480" w:firstLineChars="200"/>
              <w:rPr>
                <w:kern w:val="0"/>
                <w:sz w:val="24"/>
              </w:rPr>
            </w:pPr>
            <w:r>
              <w:rPr>
                <w:kern w:val="0"/>
                <w:sz w:val="24"/>
              </w:rPr>
              <w:t>在建设单位认真落实上述建议措施，切实做到定点收集、分类管理、定期转移、杜绝胡乱堆放、不恶化周围环境卫生的前提下，项目运营期产生的固体废弃物对周围环境影响不大。</w:t>
            </w:r>
          </w:p>
          <w:p>
            <w:pPr>
              <w:adjustRightInd w:val="0"/>
              <w:snapToGrid w:val="0"/>
              <w:spacing w:line="360" w:lineRule="auto"/>
              <w:ind w:firstLine="482" w:firstLineChars="200"/>
              <w:rPr>
                <w:b/>
                <w:bCs/>
                <w:sz w:val="24"/>
              </w:rPr>
            </w:pPr>
            <w:r>
              <w:rPr>
                <w:b/>
                <w:bCs/>
                <w:sz w:val="24"/>
              </w:rPr>
              <w:t>4.2.5、地下水、土壤环境影响分析</w:t>
            </w:r>
          </w:p>
          <w:p>
            <w:pPr>
              <w:spacing w:line="360" w:lineRule="auto"/>
              <w:ind w:firstLine="480" w:firstLineChars="200"/>
              <w:rPr>
                <w:bCs/>
                <w:sz w:val="24"/>
              </w:rPr>
            </w:pPr>
            <w:r>
              <w:rPr>
                <w:bCs/>
                <w:sz w:val="24"/>
              </w:rPr>
              <w:t>（1）污染源、污染类型及污染途径</w:t>
            </w:r>
          </w:p>
          <w:p>
            <w:pPr>
              <w:spacing w:line="360" w:lineRule="auto"/>
              <w:ind w:firstLine="480" w:firstLineChars="200"/>
              <w:rPr>
                <w:bCs/>
                <w:sz w:val="24"/>
              </w:rPr>
            </w:pPr>
            <w:r>
              <w:rPr>
                <w:sz w:val="24"/>
              </w:rPr>
              <w:t>对地下水和土壤环境可能造成影响的主要是有毒有害等物质泄露，泄露后以渗透为主</w:t>
            </w:r>
            <w:r>
              <w:rPr>
                <w:bCs/>
                <w:sz w:val="24"/>
              </w:rPr>
              <w:t>，</w:t>
            </w:r>
            <w:r>
              <w:rPr>
                <w:sz w:val="24"/>
              </w:rPr>
              <w:t>可能进入地下水层造成地下水水质污染和土壤污染的可能。项目生产过程中初期雨水收集池、生活废水隔油池及化粪池等设施、危废暂存间危废渗漏，上述废水收集存储池及处理池漏均会对地下水造成环境影响。</w:t>
            </w:r>
          </w:p>
          <w:p>
            <w:pPr>
              <w:spacing w:line="360" w:lineRule="auto"/>
              <w:ind w:firstLine="480" w:firstLineChars="200"/>
              <w:rPr>
                <w:sz w:val="24"/>
              </w:rPr>
            </w:pPr>
            <w:r>
              <w:rPr>
                <w:sz w:val="24"/>
              </w:rPr>
              <w:t>本项目正常工况下，初期雨水收集池等废水处理设施、危险废物对地下水和土壤无产生污染的途径。</w:t>
            </w:r>
          </w:p>
          <w:p>
            <w:pPr>
              <w:spacing w:line="360" w:lineRule="auto"/>
              <w:ind w:firstLine="480" w:firstLineChars="200"/>
              <w:rPr>
                <w:bCs/>
                <w:sz w:val="24"/>
              </w:rPr>
            </w:pPr>
            <w:r>
              <w:rPr>
                <w:bCs/>
                <w:sz w:val="24"/>
              </w:rPr>
              <w:t>（2）分区防控措施</w:t>
            </w:r>
          </w:p>
          <w:p>
            <w:pPr>
              <w:spacing w:line="360" w:lineRule="auto"/>
              <w:ind w:firstLine="480" w:firstLineChars="200"/>
              <w:rPr>
                <w:sz w:val="24"/>
              </w:rPr>
            </w:pPr>
            <w:r>
              <w:rPr>
                <w:sz w:val="24"/>
              </w:rPr>
              <w:t>根据本项目厂区可能泄漏至地面区域污染物的性质和生产单元的构筑方式，本项目厂区划分为重点污染防治区、一般污染防治区和非污染防治区。针对不同的区域提出相应的防渗要求。</w:t>
            </w:r>
          </w:p>
          <w:p>
            <w:pPr>
              <w:spacing w:line="360" w:lineRule="auto"/>
              <w:ind w:firstLine="482"/>
              <w:rPr>
                <w:b/>
                <w:sz w:val="24"/>
              </w:rPr>
            </w:pPr>
            <w:r>
              <w:rPr>
                <w:rFonts w:hint="eastAsia" w:ascii="宋体" w:hAnsi="宋体" w:cs="宋体"/>
                <w:b/>
                <w:sz w:val="24"/>
              </w:rPr>
              <w:t>①</w:t>
            </w:r>
            <w:r>
              <w:rPr>
                <w:b/>
                <w:sz w:val="24"/>
              </w:rPr>
              <w:t>重点污染防治区：</w:t>
            </w:r>
          </w:p>
          <w:p>
            <w:pPr>
              <w:spacing w:line="360" w:lineRule="auto"/>
              <w:ind w:firstLine="480" w:firstLineChars="200"/>
              <w:rPr>
                <w:sz w:val="24"/>
              </w:rPr>
            </w:pPr>
            <w:r>
              <w:rPr>
                <w:sz w:val="24"/>
              </w:rPr>
              <w:t>本项目无重点防渗区。</w:t>
            </w:r>
          </w:p>
          <w:p>
            <w:pPr>
              <w:adjustRightInd w:val="0"/>
              <w:snapToGrid w:val="0"/>
              <w:spacing w:line="360" w:lineRule="auto"/>
              <w:ind w:firstLine="482" w:firstLineChars="200"/>
              <w:rPr>
                <w:b/>
                <w:sz w:val="24"/>
              </w:rPr>
            </w:pPr>
            <w:r>
              <w:rPr>
                <w:rFonts w:hint="eastAsia" w:ascii="宋体" w:hAnsi="宋体" w:cs="宋体"/>
                <w:b/>
                <w:sz w:val="24"/>
              </w:rPr>
              <w:t>②</w:t>
            </w:r>
            <w:r>
              <w:rPr>
                <w:b/>
                <w:sz w:val="24"/>
              </w:rPr>
              <w:t>一般污染防治区</w:t>
            </w:r>
          </w:p>
          <w:p>
            <w:pPr>
              <w:adjustRightInd w:val="0"/>
              <w:snapToGrid w:val="0"/>
              <w:spacing w:line="360" w:lineRule="auto"/>
              <w:ind w:firstLine="480" w:firstLineChars="200"/>
              <w:rPr>
                <w:sz w:val="24"/>
              </w:rPr>
            </w:pPr>
            <w:r>
              <w:rPr>
                <w:sz w:val="24"/>
              </w:rPr>
              <w:t>本项目一般污染防治区为化粪池及隔油池、初期雨水收集池，危废暂存间。</w:t>
            </w:r>
          </w:p>
          <w:p>
            <w:pPr>
              <w:adjustRightInd w:val="0"/>
              <w:snapToGrid w:val="0"/>
              <w:spacing w:line="360" w:lineRule="auto"/>
              <w:ind w:firstLine="482" w:firstLineChars="200"/>
              <w:rPr>
                <w:b/>
                <w:sz w:val="24"/>
                <w:u w:val="none"/>
              </w:rPr>
            </w:pPr>
            <w:r>
              <w:rPr>
                <w:rFonts w:hint="eastAsia" w:ascii="宋体" w:hAnsi="宋体" w:cs="宋体"/>
                <w:b/>
                <w:sz w:val="24"/>
                <w:u w:val="none"/>
              </w:rPr>
              <w:t>③</w:t>
            </w:r>
            <w:r>
              <w:rPr>
                <w:b/>
                <w:sz w:val="24"/>
                <w:u w:val="none"/>
              </w:rPr>
              <w:t>非污染防治区</w:t>
            </w:r>
          </w:p>
          <w:p>
            <w:pPr>
              <w:spacing w:line="360" w:lineRule="auto"/>
              <w:ind w:firstLine="480" w:firstLineChars="200"/>
              <w:rPr>
                <w:sz w:val="24"/>
              </w:rPr>
            </w:pPr>
            <w:r>
              <w:rPr>
                <w:sz w:val="24"/>
              </w:rPr>
              <w:t>本项目非污染防治区是指不会对土壤和地下水造成污染的区域，主要包括厂内道路、绿化区、办公区等。</w:t>
            </w:r>
          </w:p>
          <w:p>
            <w:pPr>
              <w:spacing w:line="360" w:lineRule="auto"/>
              <w:ind w:firstLine="480" w:firstLineChars="200"/>
              <w:rPr>
                <w:sz w:val="24"/>
              </w:rPr>
            </w:pPr>
            <w:r>
              <w:rPr>
                <w:sz w:val="24"/>
              </w:rPr>
              <w:t>对于基本上不产生污染物的非污染防治区，不采取专门针对地下水污染的防治措施，仅做地面硬化即可。</w:t>
            </w:r>
          </w:p>
          <w:p>
            <w:pPr>
              <w:spacing w:line="360" w:lineRule="auto"/>
              <w:ind w:firstLine="480" w:firstLineChars="200"/>
              <w:rPr>
                <w:sz w:val="24"/>
              </w:rPr>
            </w:pPr>
            <w:r>
              <w:rPr>
                <w:sz w:val="24"/>
              </w:rPr>
              <w:t>本项目对可能造成地下水、土壤污染影响的区域进行分类识别、分区防渗，见下表。</w:t>
            </w:r>
          </w:p>
          <w:p>
            <w:pPr>
              <w:pStyle w:val="71"/>
              <w:rPr>
                <w:rFonts w:cs="Times New Roman"/>
              </w:rPr>
            </w:pPr>
            <w:r>
              <w:rPr>
                <w:rFonts w:cs="Times New Roman"/>
              </w:rPr>
              <w:t>表4-18    项目防渗分区识别表</w:t>
            </w:r>
          </w:p>
          <w:tbl>
            <w:tblPr>
              <w:tblStyle w:val="25"/>
              <w:tblW w:w="83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
              <w:gridCol w:w="2163"/>
              <w:gridCol w:w="908"/>
              <w:gridCol w:w="908"/>
              <w:gridCol w:w="3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06" w:type="dxa"/>
                  <w:vAlign w:val="center"/>
                </w:tcPr>
                <w:p>
                  <w:pPr>
                    <w:pStyle w:val="75"/>
                    <w:spacing w:before="24" w:after="24" w:line="240" w:lineRule="auto"/>
                  </w:pPr>
                  <w:r>
                    <w:t>序号</w:t>
                  </w:r>
                </w:p>
              </w:tc>
              <w:tc>
                <w:tcPr>
                  <w:tcW w:w="2163" w:type="dxa"/>
                  <w:vAlign w:val="center"/>
                </w:tcPr>
                <w:p>
                  <w:pPr>
                    <w:pStyle w:val="75"/>
                    <w:spacing w:before="24" w:after="24" w:line="240" w:lineRule="auto"/>
                  </w:pPr>
                  <w:r>
                    <w:t>装置（单元、设施）名称</w:t>
                  </w:r>
                </w:p>
              </w:tc>
              <w:tc>
                <w:tcPr>
                  <w:tcW w:w="908" w:type="dxa"/>
                  <w:vAlign w:val="center"/>
                </w:tcPr>
                <w:p>
                  <w:pPr>
                    <w:pStyle w:val="75"/>
                    <w:spacing w:before="24" w:after="24" w:line="240" w:lineRule="auto"/>
                  </w:pPr>
                  <w:r>
                    <w:t>防渗区域及部位</w:t>
                  </w:r>
                </w:p>
              </w:tc>
              <w:tc>
                <w:tcPr>
                  <w:tcW w:w="908" w:type="dxa"/>
                  <w:vAlign w:val="center"/>
                </w:tcPr>
                <w:p>
                  <w:pPr>
                    <w:pStyle w:val="75"/>
                    <w:spacing w:before="24" w:after="24" w:line="240" w:lineRule="auto"/>
                  </w:pPr>
                  <w:r>
                    <w:t>识别结果</w:t>
                  </w:r>
                </w:p>
              </w:tc>
              <w:tc>
                <w:tcPr>
                  <w:tcW w:w="3882" w:type="dxa"/>
                  <w:vAlign w:val="center"/>
                </w:tcPr>
                <w:p>
                  <w:pPr>
                    <w:pStyle w:val="75"/>
                    <w:spacing w:before="24" w:after="24" w:line="240" w:lineRule="auto"/>
                  </w:pPr>
                  <w:r>
                    <w:t>防渗措施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06" w:type="dxa"/>
                  <w:vAlign w:val="center"/>
                </w:tcPr>
                <w:p>
                  <w:pPr>
                    <w:pStyle w:val="75"/>
                    <w:spacing w:before="24" w:after="24" w:line="240" w:lineRule="auto"/>
                  </w:pPr>
                  <w:r>
                    <w:t>1</w:t>
                  </w:r>
                </w:p>
              </w:tc>
              <w:tc>
                <w:tcPr>
                  <w:tcW w:w="2163" w:type="dxa"/>
                  <w:vAlign w:val="center"/>
                </w:tcPr>
                <w:p>
                  <w:pPr>
                    <w:pStyle w:val="75"/>
                    <w:spacing w:before="24" w:after="24" w:line="240" w:lineRule="auto"/>
                  </w:pPr>
                  <w:r>
                    <w:t>化粪池及隔油池、初期雨水收集池、危废暂存间</w:t>
                  </w:r>
                </w:p>
              </w:tc>
              <w:tc>
                <w:tcPr>
                  <w:tcW w:w="908" w:type="dxa"/>
                  <w:vAlign w:val="center"/>
                </w:tcPr>
                <w:p>
                  <w:pPr>
                    <w:pStyle w:val="75"/>
                    <w:spacing w:before="24" w:after="24" w:line="240" w:lineRule="auto"/>
                  </w:pPr>
                  <w:r>
                    <w:t>地面</w:t>
                  </w:r>
                </w:p>
              </w:tc>
              <w:tc>
                <w:tcPr>
                  <w:tcW w:w="908" w:type="dxa"/>
                  <w:vAlign w:val="center"/>
                </w:tcPr>
                <w:p>
                  <w:pPr>
                    <w:pStyle w:val="75"/>
                    <w:spacing w:before="24" w:after="24" w:line="240" w:lineRule="auto"/>
                  </w:pPr>
                  <w:r>
                    <w:t>一般污染防治区</w:t>
                  </w:r>
                </w:p>
              </w:tc>
              <w:tc>
                <w:tcPr>
                  <w:tcW w:w="3882" w:type="dxa"/>
                  <w:vAlign w:val="center"/>
                </w:tcPr>
                <w:p>
                  <w:pPr>
                    <w:pStyle w:val="75"/>
                    <w:spacing w:before="24" w:after="24"/>
                  </w:pPr>
                  <w:r>
                    <w:rPr>
                      <w:spacing w:val="16"/>
                    </w:rPr>
                    <w:t>等效黏土防渗层 Mb≥1.5m，K≤1×10</w:t>
                  </w:r>
                  <w:r>
                    <w:rPr>
                      <w:spacing w:val="16"/>
                      <w:vertAlign w:val="superscript"/>
                    </w:rPr>
                    <w:t>-7</w:t>
                  </w:r>
                  <w:r>
                    <w:rPr>
                      <w:spacing w:val="16"/>
                    </w:rPr>
                    <w:t>cm/s；或参照GB16889执行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06" w:type="dxa"/>
                  <w:vAlign w:val="center"/>
                </w:tcPr>
                <w:p>
                  <w:pPr>
                    <w:pStyle w:val="75"/>
                    <w:spacing w:before="24" w:after="24" w:line="240" w:lineRule="auto"/>
                  </w:pPr>
                  <w:r>
                    <w:t>3</w:t>
                  </w:r>
                </w:p>
              </w:tc>
              <w:tc>
                <w:tcPr>
                  <w:tcW w:w="2163" w:type="dxa"/>
                  <w:vAlign w:val="center"/>
                </w:tcPr>
                <w:p>
                  <w:pPr>
                    <w:pStyle w:val="75"/>
                    <w:spacing w:before="24" w:after="24" w:line="240" w:lineRule="auto"/>
                  </w:pPr>
                  <w:r>
                    <w:t>生产区等</w:t>
                  </w:r>
                </w:p>
              </w:tc>
              <w:tc>
                <w:tcPr>
                  <w:tcW w:w="908" w:type="dxa"/>
                  <w:vAlign w:val="center"/>
                </w:tcPr>
                <w:p>
                  <w:pPr>
                    <w:pStyle w:val="75"/>
                    <w:spacing w:before="24" w:after="24" w:line="240" w:lineRule="auto"/>
                  </w:pPr>
                  <w:r>
                    <w:t>地面</w:t>
                  </w:r>
                </w:p>
              </w:tc>
              <w:tc>
                <w:tcPr>
                  <w:tcW w:w="908" w:type="dxa"/>
                  <w:vAlign w:val="center"/>
                </w:tcPr>
                <w:p>
                  <w:pPr>
                    <w:pStyle w:val="75"/>
                    <w:spacing w:before="24" w:after="24" w:line="240" w:lineRule="auto"/>
                  </w:pPr>
                  <w:r>
                    <w:t>非污染防治区</w:t>
                  </w:r>
                </w:p>
              </w:tc>
              <w:tc>
                <w:tcPr>
                  <w:tcW w:w="3882" w:type="dxa"/>
                  <w:vAlign w:val="center"/>
                </w:tcPr>
                <w:p>
                  <w:pPr>
                    <w:pStyle w:val="75"/>
                    <w:spacing w:before="24" w:after="24" w:line="240" w:lineRule="auto"/>
                  </w:pPr>
                  <w:r>
                    <w:t>一般地面硬化</w:t>
                  </w:r>
                </w:p>
              </w:tc>
            </w:tr>
          </w:tbl>
          <w:p>
            <w:pPr>
              <w:adjustRightInd w:val="0"/>
              <w:snapToGrid w:val="0"/>
              <w:spacing w:line="360" w:lineRule="auto"/>
              <w:ind w:firstLine="480" w:firstLineChars="200"/>
              <w:rPr>
                <w:bCs/>
                <w:sz w:val="24"/>
              </w:rPr>
            </w:pPr>
            <w:r>
              <w:rPr>
                <w:bCs/>
                <w:sz w:val="24"/>
              </w:rPr>
              <w:t>（3）跟踪监测要求</w:t>
            </w:r>
          </w:p>
          <w:p>
            <w:pPr>
              <w:adjustRightInd w:val="0"/>
              <w:snapToGrid w:val="0"/>
              <w:spacing w:line="360" w:lineRule="auto"/>
              <w:ind w:firstLine="480" w:firstLineChars="200"/>
              <w:rPr>
                <w:sz w:val="24"/>
              </w:rPr>
            </w:pPr>
            <w:r>
              <w:rPr>
                <w:sz w:val="24"/>
              </w:rPr>
              <w:t>根据《环境影响评价技术导则 地下水环境》（HJ610-2016）、《环境影响评价技术导则  土壤环境》（HJ 964-2018）、《排污单位自行监测技术指南-总则》（HJ 819-2017）相关要求，对建筑用砂石料加工项目无监测要求，故项目不设土壤、地下水监测计划。</w:t>
            </w:r>
          </w:p>
          <w:p>
            <w:pPr>
              <w:spacing w:line="360" w:lineRule="auto"/>
              <w:ind w:firstLine="482" w:firstLineChars="200"/>
              <w:rPr>
                <w:sz w:val="24"/>
              </w:rPr>
            </w:pPr>
            <w:r>
              <w:rPr>
                <w:b/>
                <w:bCs/>
                <w:color w:val="000000"/>
                <w:kern w:val="0"/>
                <w:sz w:val="24"/>
              </w:rPr>
              <w:t>4.2.6、环境风险分析及防范措施</w:t>
            </w:r>
          </w:p>
          <w:p>
            <w:pPr>
              <w:adjustRightInd w:val="0"/>
              <w:snapToGrid w:val="0"/>
              <w:spacing w:line="360" w:lineRule="auto"/>
              <w:ind w:firstLine="480" w:firstLineChars="200"/>
              <w:rPr>
                <w:bCs/>
                <w:sz w:val="24"/>
              </w:rPr>
            </w:pPr>
            <w:r>
              <w:rPr>
                <w:bCs/>
                <w:sz w:val="24"/>
              </w:rPr>
              <w:t>根据《建设项目环境风险评价技术导则》（HJ169-2018），根据建设项目设计的物质及工艺系统危险性和所在地点环境敏感性确定环境风险潜势，按照（H169-2018）中表1确定评价工作等级。环境风险评价工作等级分为一级、二级、三级。风险潜势为Ⅳ级以上，进行一级评价；风险潜势为Ⅲ级，进行二级评价；风险潜势为Ⅱ级，进行三级评价；风险潜势为Ⅰ级进行简单分析即可。</w:t>
            </w:r>
          </w:p>
          <w:p>
            <w:pPr>
              <w:adjustRightInd w:val="0"/>
              <w:snapToGrid w:val="0"/>
              <w:spacing w:line="360" w:lineRule="auto"/>
              <w:ind w:firstLine="480" w:firstLineChars="200"/>
              <w:rPr>
                <w:bCs/>
                <w:sz w:val="24"/>
              </w:rPr>
            </w:pPr>
            <w:r>
              <w:rPr>
                <w:bCs/>
                <w:sz w:val="24"/>
              </w:rPr>
              <w:t>1、风险评价等级确定</w:t>
            </w:r>
          </w:p>
          <w:p>
            <w:pPr>
              <w:adjustRightInd w:val="0"/>
              <w:snapToGrid w:val="0"/>
              <w:spacing w:line="360" w:lineRule="auto"/>
              <w:ind w:firstLine="480" w:firstLineChars="200"/>
              <w:rPr>
                <w:bCs/>
                <w:sz w:val="24"/>
              </w:rPr>
            </w:pPr>
            <w:r>
              <w:rPr>
                <w:bCs/>
                <w:sz w:val="24"/>
              </w:rPr>
              <w:t>根据本项目环境风险潜势Ⅰ级，按照表4-19，本项目环境风险评价可开展简单分析。</w:t>
            </w:r>
          </w:p>
          <w:p>
            <w:pPr>
              <w:pStyle w:val="71"/>
              <w:rPr>
                <w:rFonts w:cs="Times New Roman"/>
              </w:rPr>
            </w:pPr>
            <w:r>
              <w:rPr>
                <w:rFonts w:cs="Times New Roman"/>
              </w:rPr>
              <w:t>表4-19    评价工作等级划分</w:t>
            </w:r>
          </w:p>
          <w:tbl>
            <w:tblPr>
              <w:tblStyle w:val="25"/>
              <w:tblW w:w="8367"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1203"/>
              <w:gridCol w:w="1804"/>
              <w:gridCol w:w="1804"/>
              <w:gridCol w:w="141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2144" w:type="dxa"/>
                  <w:vAlign w:val="center"/>
                </w:tcPr>
                <w:p>
                  <w:pPr>
                    <w:pStyle w:val="75"/>
                    <w:spacing w:before="24" w:after="24"/>
                  </w:pPr>
                  <w:r>
                    <w:t>环境风险潜势</w:t>
                  </w:r>
                </w:p>
              </w:tc>
              <w:tc>
                <w:tcPr>
                  <w:tcW w:w="1203" w:type="dxa"/>
                  <w:vAlign w:val="center"/>
                </w:tcPr>
                <w:p>
                  <w:pPr>
                    <w:pStyle w:val="75"/>
                    <w:spacing w:before="24" w:after="24"/>
                  </w:pPr>
                  <w:r>
                    <w:t>Ⅳ、Ⅳ+</w:t>
                  </w:r>
                </w:p>
              </w:tc>
              <w:tc>
                <w:tcPr>
                  <w:tcW w:w="1804" w:type="dxa"/>
                  <w:vAlign w:val="center"/>
                </w:tcPr>
                <w:p>
                  <w:pPr>
                    <w:pStyle w:val="75"/>
                    <w:spacing w:before="24" w:after="24"/>
                  </w:pPr>
                  <w:r>
                    <w:t>Ⅲ</w:t>
                  </w:r>
                </w:p>
              </w:tc>
              <w:tc>
                <w:tcPr>
                  <w:tcW w:w="1804" w:type="dxa"/>
                  <w:vAlign w:val="center"/>
                </w:tcPr>
                <w:p>
                  <w:pPr>
                    <w:pStyle w:val="75"/>
                    <w:spacing w:before="24" w:after="24"/>
                  </w:pPr>
                  <w:r>
                    <w:t>Ⅱ</w:t>
                  </w:r>
                </w:p>
              </w:tc>
              <w:tc>
                <w:tcPr>
                  <w:tcW w:w="1412" w:type="dxa"/>
                  <w:vAlign w:val="center"/>
                </w:tcPr>
                <w:p>
                  <w:pPr>
                    <w:pStyle w:val="75"/>
                    <w:spacing w:before="24" w:after="24"/>
                  </w:pPr>
                  <w:r>
                    <w:t>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2144" w:type="dxa"/>
                  <w:vAlign w:val="center"/>
                </w:tcPr>
                <w:p>
                  <w:pPr>
                    <w:pStyle w:val="75"/>
                    <w:spacing w:before="24" w:after="24"/>
                  </w:pPr>
                  <w:r>
                    <w:t>评价工作等级</w:t>
                  </w:r>
                </w:p>
              </w:tc>
              <w:tc>
                <w:tcPr>
                  <w:tcW w:w="1203" w:type="dxa"/>
                  <w:vAlign w:val="center"/>
                </w:tcPr>
                <w:p>
                  <w:pPr>
                    <w:pStyle w:val="75"/>
                    <w:spacing w:before="24" w:after="24"/>
                  </w:pPr>
                  <w:r>
                    <w:t>一</w:t>
                  </w:r>
                </w:p>
              </w:tc>
              <w:tc>
                <w:tcPr>
                  <w:tcW w:w="1804" w:type="dxa"/>
                  <w:vAlign w:val="center"/>
                </w:tcPr>
                <w:p>
                  <w:pPr>
                    <w:pStyle w:val="75"/>
                    <w:spacing w:before="24" w:after="24"/>
                  </w:pPr>
                  <w:r>
                    <w:t>二</w:t>
                  </w:r>
                </w:p>
              </w:tc>
              <w:tc>
                <w:tcPr>
                  <w:tcW w:w="1804" w:type="dxa"/>
                  <w:vAlign w:val="center"/>
                </w:tcPr>
                <w:p>
                  <w:pPr>
                    <w:pStyle w:val="75"/>
                    <w:spacing w:before="24" w:after="24"/>
                  </w:pPr>
                  <w:r>
                    <w:t>三</w:t>
                  </w:r>
                </w:p>
              </w:tc>
              <w:tc>
                <w:tcPr>
                  <w:tcW w:w="1412" w:type="dxa"/>
                  <w:vAlign w:val="center"/>
                </w:tcPr>
                <w:p>
                  <w:pPr>
                    <w:pStyle w:val="75"/>
                    <w:spacing w:before="24" w:after="24"/>
                  </w:pPr>
                  <w:r>
                    <w:t>简单分析a</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8367" w:type="dxa"/>
                  <w:gridSpan w:val="5"/>
                  <w:vAlign w:val="center"/>
                </w:tcPr>
                <w:p>
                  <w:pPr>
                    <w:pStyle w:val="75"/>
                    <w:spacing w:before="24" w:after="24"/>
                  </w:pPr>
                  <w:r>
                    <w:t>a是相对于详细评价工作内容而言，在描述危险物质、环境影响途径、环境危害后果、风险防范措施等方面给出定性的说明。见附录A。</w:t>
                  </w:r>
                </w:p>
              </w:tc>
            </w:tr>
          </w:tbl>
          <w:p>
            <w:pPr>
              <w:adjustRightInd w:val="0"/>
              <w:snapToGrid w:val="0"/>
              <w:spacing w:line="360" w:lineRule="auto"/>
              <w:ind w:firstLine="480" w:firstLineChars="200"/>
              <w:rPr>
                <w:bCs/>
                <w:sz w:val="24"/>
              </w:rPr>
            </w:pPr>
            <w:r>
              <w:rPr>
                <w:bCs/>
                <w:sz w:val="24"/>
              </w:rPr>
              <w:t>2、危险物质数量与临界量的比值 Q</w:t>
            </w:r>
          </w:p>
          <w:p>
            <w:pPr>
              <w:adjustRightInd w:val="0"/>
              <w:snapToGrid w:val="0"/>
              <w:spacing w:line="360" w:lineRule="auto"/>
              <w:ind w:firstLine="480" w:firstLineChars="200"/>
              <w:rPr>
                <w:bCs/>
                <w:sz w:val="24"/>
              </w:rPr>
            </w:pPr>
            <w:r>
              <w:rPr>
                <w:sz w:val="24"/>
              </w:rPr>
              <w:t>本项目为砂石加工项目，采用电作为能源。根据项目生产工艺特点，结合现场勘查了解的项目实际情况，项目涉及到的危险物质为废矿物油。</w:t>
            </w:r>
            <w:r>
              <w:rPr>
                <w:bCs/>
                <w:sz w:val="24"/>
              </w:rPr>
              <w:t>详见4-20。</w:t>
            </w:r>
          </w:p>
          <w:p>
            <w:pPr>
              <w:pStyle w:val="71"/>
              <w:rPr>
                <w:rFonts w:cs="Times New Roman"/>
                <w:kern w:val="0"/>
                <w:szCs w:val="21"/>
              </w:rPr>
            </w:pPr>
            <w:r>
              <w:rPr>
                <w:rFonts w:cs="Times New Roman"/>
                <w:szCs w:val="21"/>
              </w:rPr>
              <w:t>表4-20    危险物质数量与临界量比值表</w:t>
            </w:r>
          </w:p>
          <w:tbl>
            <w:tblPr>
              <w:tblStyle w:val="25"/>
              <w:tblW w:w="83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683"/>
              <w:gridCol w:w="1401"/>
              <w:gridCol w:w="1739"/>
              <w:gridCol w:w="1312"/>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16" w:type="dxa"/>
                  <w:vAlign w:val="center"/>
                </w:tcPr>
                <w:p>
                  <w:pPr>
                    <w:pStyle w:val="75"/>
                    <w:spacing w:before="24" w:after="24"/>
                  </w:pPr>
                  <w:r>
                    <w:t>序号</w:t>
                  </w:r>
                </w:p>
              </w:tc>
              <w:tc>
                <w:tcPr>
                  <w:tcW w:w="1683" w:type="dxa"/>
                  <w:vAlign w:val="center"/>
                </w:tcPr>
                <w:p>
                  <w:pPr>
                    <w:pStyle w:val="75"/>
                    <w:spacing w:before="24" w:after="24"/>
                  </w:pPr>
                  <w:r>
                    <w:t>危险物质名称</w:t>
                  </w:r>
                </w:p>
              </w:tc>
              <w:tc>
                <w:tcPr>
                  <w:tcW w:w="1401" w:type="dxa"/>
                  <w:vAlign w:val="center"/>
                </w:tcPr>
                <w:p>
                  <w:pPr>
                    <w:pStyle w:val="75"/>
                    <w:spacing w:before="24" w:after="24"/>
                  </w:pPr>
                  <w:r>
                    <w:t>CAS号</w:t>
                  </w:r>
                </w:p>
              </w:tc>
              <w:tc>
                <w:tcPr>
                  <w:tcW w:w="1739" w:type="dxa"/>
                  <w:vAlign w:val="center"/>
                </w:tcPr>
                <w:p>
                  <w:pPr>
                    <w:pStyle w:val="75"/>
                    <w:spacing w:before="24" w:after="24"/>
                  </w:pPr>
                  <w:r>
                    <w:t>最大存在总量q,t</w:t>
                  </w:r>
                </w:p>
              </w:tc>
              <w:tc>
                <w:tcPr>
                  <w:tcW w:w="1312" w:type="dxa"/>
                  <w:vAlign w:val="center"/>
                </w:tcPr>
                <w:p>
                  <w:pPr>
                    <w:pStyle w:val="75"/>
                    <w:spacing w:before="24" w:after="24"/>
                  </w:pPr>
                  <w:r>
                    <w:t>临界量Q，t</w:t>
                  </w:r>
                </w:p>
              </w:tc>
              <w:tc>
                <w:tcPr>
                  <w:tcW w:w="1516" w:type="dxa"/>
                  <w:vAlign w:val="center"/>
                </w:tcPr>
                <w:p>
                  <w:pPr>
                    <w:pStyle w:val="75"/>
                    <w:spacing w:before="24" w:after="24"/>
                  </w:pPr>
                  <w:r>
                    <w:t>该种物质Q值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16" w:type="dxa"/>
                  <w:vAlign w:val="center"/>
                </w:tcPr>
                <w:p>
                  <w:pPr>
                    <w:pStyle w:val="75"/>
                    <w:spacing w:before="24" w:after="24"/>
                  </w:pPr>
                  <w:r>
                    <w:t>1</w:t>
                  </w:r>
                </w:p>
              </w:tc>
              <w:tc>
                <w:tcPr>
                  <w:tcW w:w="1683" w:type="dxa"/>
                  <w:vAlign w:val="center"/>
                </w:tcPr>
                <w:p>
                  <w:pPr>
                    <w:pStyle w:val="75"/>
                    <w:spacing w:before="24" w:after="24"/>
                  </w:pPr>
                  <w:r>
                    <w:t>废矿物油等</w:t>
                  </w:r>
                </w:p>
              </w:tc>
              <w:tc>
                <w:tcPr>
                  <w:tcW w:w="1401" w:type="dxa"/>
                  <w:vAlign w:val="center"/>
                </w:tcPr>
                <w:p>
                  <w:pPr>
                    <w:pStyle w:val="75"/>
                    <w:spacing w:before="24" w:after="24"/>
                  </w:pPr>
                  <w:r>
                    <w:t>/</w:t>
                  </w:r>
                </w:p>
              </w:tc>
              <w:tc>
                <w:tcPr>
                  <w:tcW w:w="1739" w:type="dxa"/>
                  <w:vAlign w:val="center"/>
                </w:tcPr>
                <w:p>
                  <w:pPr>
                    <w:pStyle w:val="75"/>
                    <w:spacing w:before="24" w:after="24"/>
                  </w:pPr>
                  <w:r>
                    <w:t>0.7</w:t>
                  </w:r>
                </w:p>
              </w:tc>
              <w:tc>
                <w:tcPr>
                  <w:tcW w:w="1312" w:type="dxa"/>
                  <w:vAlign w:val="center"/>
                </w:tcPr>
                <w:p>
                  <w:pPr>
                    <w:pStyle w:val="75"/>
                    <w:spacing w:before="24" w:after="24"/>
                  </w:pPr>
                  <w:r>
                    <w:t>2500</w:t>
                  </w:r>
                </w:p>
              </w:tc>
              <w:tc>
                <w:tcPr>
                  <w:tcW w:w="1516" w:type="dxa"/>
                  <w:vAlign w:val="center"/>
                </w:tcPr>
                <w:p>
                  <w:pPr>
                    <w:pStyle w:val="75"/>
                    <w:spacing w:before="24" w:after="24"/>
                  </w:pPr>
                  <w:r>
                    <w:t>0.00028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16" w:type="dxa"/>
                  <w:vAlign w:val="center"/>
                </w:tcPr>
                <w:p>
                  <w:pPr>
                    <w:pStyle w:val="75"/>
                    <w:spacing w:before="24" w:after="24"/>
                  </w:pPr>
                  <w:r>
                    <w:t>2</w:t>
                  </w:r>
                </w:p>
              </w:tc>
              <w:tc>
                <w:tcPr>
                  <w:tcW w:w="1683" w:type="dxa"/>
                  <w:vAlign w:val="center"/>
                </w:tcPr>
                <w:p>
                  <w:pPr>
                    <w:pStyle w:val="75"/>
                    <w:spacing w:before="24" w:after="24"/>
                  </w:pPr>
                  <w:r>
                    <w:t>柴油</w:t>
                  </w:r>
                </w:p>
              </w:tc>
              <w:tc>
                <w:tcPr>
                  <w:tcW w:w="1401" w:type="dxa"/>
                  <w:vAlign w:val="center"/>
                </w:tcPr>
                <w:p>
                  <w:pPr>
                    <w:pStyle w:val="75"/>
                    <w:spacing w:before="24" w:after="24"/>
                  </w:pPr>
                  <w:r>
                    <w:t>/</w:t>
                  </w:r>
                </w:p>
              </w:tc>
              <w:tc>
                <w:tcPr>
                  <w:tcW w:w="1739" w:type="dxa"/>
                  <w:vAlign w:val="center"/>
                </w:tcPr>
                <w:p>
                  <w:pPr>
                    <w:pStyle w:val="75"/>
                    <w:spacing w:before="24" w:after="24"/>
                  </w:pPr>
                  <w:r>
                    <w:t>0.2</w:t>
                  </w:r>
                </w:p>
              </w:tc>
              <w:tc>
                <w:tcPr>
                  <w:tcW w:w="1312" w:type="dxa"/>
                  <w:vAlign w:val="center"/>
                </w:tcPr>
                <w:p>
                  <w:pPr>
                    <w:pStyle w:val="75"/>
                    <w:spacing w:before="24" w:after="24"/>
                  </w:pPr>
                  <w:r>
                    <w:t>2500</w:t>
                  </w:r>
                </w:p>
              </w:tc>
              <w:tc>
                <w:tcPr>
                  <w:tcW w:w="1516" w:type="dxa"/>
                  <w:vAlign w:val="center"/>
                </w:tcPr>
                <w:p>
                  <w:pPr>
                    <w:pStyle w:val="75"/>
                    <w:spacing w:before="24" w:after="24"/>
                  </w:pPr>
                  <w:r>
                    <w:t>0.00008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16" w:type="dxa"/>
                  <w:vAlign w:val="center"/>
                </w:tcPr>
                <w:p>
                  <w:pPr>
                    <w:pStyle w:val="75"/>
                    <w:spacing w:before="24" w:after="24"/>
                  </w:pPr>
                  <w:r>
                    <w:t>3</w:t>
                  </w:r>
                </w:p>
              </w:tc>
              <w:tc>
                <w:tcPr>
                  <w:tcW w:w="1683" w:type="dxa"/>
                  <w:vAlign w:val="center"/>
                </w:tcPr>
                <w:p>
                  <w:pPr>
                    <w:pStyle w:val="75"/>
                    <w:spacing w:before="24" w:after="24"/>
                  </w:pPr>
                  <w:r>
                    <w:t>润滑油</w:t>
                  </w:r>
                </w:p>
              </w:tc>
              <w:tc>
                <w:tcPr>
                  <w:tcW w:w="1401" w:type="dxa"/>
                  <w:vAlign w:val="center"/>
                </w:tcPr>
                <w:p>
                  <w:pPr>
                    <w:pStyle w:val="75"/>
                    <w:spacing w:before="24" w:after="24"/>
                  </w:pPr>
                  <w:r>
                    <w:t>/</w:t>
                  </w:r>
                </w:p>
              </w:tc>
              <w:tc>
                <w:tcPr>
                  <w:tcW w:w="1739" w:type="dxa"/>
                  <w:vAlign w:val="center"/>
                </w:tcPr>
                <w:p>
                  <w:pPr>
                    <w:pStyle w:val="75"/>
                    <w:spacing w:before="24" w:after="24"/>
                  </w:pPr>
                  <w:r>
                    <w:t>0.5</w:t>
                  </w:r>
                </w:p>
              </w:tc>
              <w:tc>
                <w:tcPr>
                  <w:tcW w:w="1312" w:type="dxa"/>
                  <w:vAlign w:val="center"/>
                </w:tcPr>
                <w:p>
                  <w:pPr>
                    <w:pStyle w:val="75"/>
                    <w:spacing w:before="24" w:after="24"/>
                  </w:pPr>
                  <w:r>
                    <w:t>2500</w:t>
                  </w:r>
                </w:p>
              </w:tc>
              <w:tc>
                <w:tcPr>
                  <w:tcW w:w="1516" w:type="dxa"/>
                  <w:vAlign w:val="center"/>
                </w:tcPr>
                <w:p>
                  <w:pPr>
                    <w:pStyle w:val="75"/>
                    <w:spacing w:before="24" w:after="24"/>
                  </w:pPr>
                  <w:r>
                    <w:t>0.00020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16" w:type="dxa"/>
                  <w:vAlign w:val="center"/>
                </w:tcPr>
                <w:p>
                  <w:pPr>
                    <w:pStyle w:val="75"/>
                    <w:spacing w:before="24" w:after="24"/>
                  </w:pPr>
                  <w:r>
                    <w:t>4</w:t>
                  </w:r>
                </w:p>
              </w:tc>
              <w:tc>
                <w:tcPr>
                  <w:tcW w:w="1683" w:type="dxa"/>
                  <w:vAlign w:val="center"/>
                </w:tcPr>
                <w:p>
                  <w:pPr>
                    <w:pStyle w:val="75"/>
                    <w:spacing w:before="24" w:after="24"/>
                  </w:pPr>
                  <w:r>
                    <w:t>机油</w:t>
                  </w:r>
                </w:p>
              </w:tc>
              <w:tc>
                <w:tcPr>
                  <w:tcW w:w="1401" w:type="dxa"/>
                  <w:vAlign w:val="center"/>
                </w:tcPr>
                <w:p>
                  <w:pPr>
                    <w:pStyle w:val="75"/>
                    <w:spacing w:before="24" w:after="24"/>
                  </w:pPr>
                  <w:r>
                    <w:t>/</w:t>
                  </w:r>
                </w:p>
              </w:tc>
              <w:tc>
                <w:tcPr>
                  <w:tcW w:w="1739" w:type="dxa"/>
                  <w:vAlign w:val="center"/>
                </w:tcPr>
                <w:p>
                  <w:pPr>
                    <w:pStyle w:val="75"/>
                    <w:spacing w:before="24" w:after="24"/>
                  </w:pPr>
                  <w:r>
                    <w:t>0.2</w:t>
                  </w:r>
                </w:p>
              </w:tc>
              <w:tc>
                <w:tcPr>
                  <w:tcW w:w="1312" w:type="dxa"/>
                  <w:vAlign w:val="center"/>
                </w:tcPr>
                <w:p>
                  <w:pPr>
                    <w:pStyle w:val="75"/>
                    <w:spacing w:before="24" w:after="24"/>
                  </w:pPr>
                  <w:r>
                    <w:t>2500</w:t>
                  </w:r>
                </w:p>
              </w:tc>
              <w:tc>
                <w:tcPr>
                  <w:tcW w:w="1516" w:type="dxa"/>
                  <w:vAlign w:val="center"/>
                </w:tcPr>
                <w:p>
                  <w:pPr>
                    <w:pStyle w:val="75"/>
                    <w:spacing w:before="24" w:after="24"/>
                  </w:pPr>
                  <w:r>
                    <w:t>0.00008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51" w:type="dxa"/>
                  <w:gridSpan w:val="5"/>
                  <w:vAlign w:val="center"/>
                </w:tcPr>
                <w:p>
                  <w:pPr>
                    <w:pStyle w:val="75"/>
                    <w:spacing w:before="24" w:after="24"/>
                    <w:rPr>
                      <w:lang w:val="zh-CN"/>
                    </w:rPr>
                  </w:pPr>
                  <w:r>
                    <w:rPr>
                      <w:lang w:val="zh-CN"/>
                    </w:rPr>
                    <w:t>项目Q值总和</w:t>
                  </w:r>
                </w:p>
              </w:tc>
              <w:tc>
                <w:tcPr>
                  <w:tcW w:w="1516" w:type="dxa"/>
                  <w:vAlign w:val="center"/>
                </w:tcPr>
                <w:p>
                  <w:pPr>
                    <w:pStyle w:val="75"/>
                    <w:spacing w:before="24" w:after="24"/>
                    <w:rPr>
                      <w:lang w:val="zh-CN"/>
                    </w:rPr>
                  </w:pPr>
                  <w:r>
                    <w:rPr>
                      <w:lang w:val="zh-CN"/>
                    </w:rPr>
                    <w:fldChar w:fldCharType="begin"/>
                  </w:r>
                  <w:r>
                    <w:rPr>
                      <w:lang w:val="zh-CN"/>
                    </w:rPr>
                    <w:instrText xml:space="preserve"> =SUM(ABOVE) </w:instrText>
                  </w:r>
                  <w:r>
                    <w:rPr>
                      <w:lang w:val="zh-CN"/>
                    </w:rPr>
                    <w:fldChar w:fldCharType="separate"/>
                  </w:r>
                  <w:r>
                    <w:rPr>
                      <w:lang w:val="zh-CN"/>
                    </w:rPr>
                    <w:t>0.00064</w:t>
                  </w:r>
                  <w:r>
                    <w:rPr>
                      <w:lang w:val="zh-CN"/>
                    </w:rPr>
                    <w:fldChar w:fldCharType="end"/>
                  </w:r>
                </w:p>
              </w:tc>
            </w:tr>
          </w:tbl>
          <w:p>
            <w:pPr>
              <w:adjustRightInd w:val="0"/>
              <w:snapToGrid w:val="0"/>
              <w:spacing w:line="360" w:lineRule="auto"/>
              <w:ind w:firstLine="480" w:firstLineChars="200"/>
              <w:rPr>
                <w:bCs/>
                <w:sz w:val="24"/>
              </w:rPr>
            </w:pPr>
            <w:r>
              <w:rPr>
                <w:bCs/>
                <w:sz w:val="24"/>
              </w:rPr>
              <w:t>本项目Q值＜1，因此，该企业环境风险潜势为Ⅰ，对照评价工作等级划分表可知，进行简单分析即可。</w:t>
            </w:r>
          </w:p>
          <w:p>
            <w:pPr>
              <w:adjustRightInd w:val="0"/>
              <w:snapToGrid w:val="0"/>
              <w:spacing w:line="360" w:lineRule="auto"/>
              <w:ind w:firstLine="480" w:firstLineChars="200"/>
              <w:rPr>
                <w:bCs/>
                <w:sz w:val="24"/>
              </w:rPr>
            </w:pPr>
            <w:r>
              <w:rPr>
                <w:bCs/>
                <w:sz w:val="24"/>
              </w:rPr>
              <w:t>3、风险源调查</w:t>
            </w:r>
          </w:p>
          <w:p>
            <w:pPr>
              <w:adjustRightInd w:val="0"/>
              <w:snapToGrid w:val="0"/>
              <w:spacing w:line="360" w:lineRule="auto"/>
              <w:ind w:firstLine="480" w:firstLineChars="200"/>
              <w:rPr>
                <w:bCs/>
                <w:sz w:val="24"/>
              </w:rPr>
            </w:pPr>
            <w:r>
              <w:rPr>
                <w:bCs/>
                <w:sz w:val="24"/>
              </w:rPr>
              <w:t>针对项目生产工艺的特点，结合物质危险性识别以及各生产系统和环节对周边环境的影响程度，项目生产过程中的环境风险及有害因素主要有废气处理设施失效造成环境空气质量超标、项目区电气设备或线路短路、过载、接触不良、散热不良引起火灾造成的次生污染、危险废物及柴油事故泄露燃烧及造成地表水或土壤污染。</w:t>
            </w:r>
          </w:p>
          <w:p>
            <w:pPr>
              <w:adjustRightInd w:val="0"/>
              <w:snapToGrid w:val="0"/>
              <w:spacing w:line="360" w:lineRule="auto"/>
              <w:ind w:firstLine="480" w:firstLineChars="200"/>
              <w:rPr>
                <w:bCs/>
                <w:sz w:val="24"/>
              </w:rPr>
            </w:pPr>
            <w:r>
              <w:rPr>
                <w:bCs/>
                <w:sz w:val="24"/>
              </w:rPr>
              <w:t>风险事故一旦发生，不仅可能造成人员伤亡和财产损失，同时可能引发一定程度的环境问题，必须予以高度重视。因此，在环境影响评价中认真做好环境风险评价，对维护环境安全具有重要的意义。</w:t>
            </w:r>
          </w:p>
          <w:p>
            <w:pPr>
              <w:adjustRightInd w:val="0"/>
              <w:snapToGrid w:val="0"/>
              <w:spacing w:line="360" w:lineRule="auto"/>
              <w:ind w:firstLine="480" w:firstLineChars="200"/>
              <w:rPr>
                <w:bCs/>
                <w:sz w:val="24"/>
              </w:rPr>
            </w:pPr>
            <w:r>
              <w:rPr>
                <w:bCs/>
                <w:sz w:val="24"/>
              </w:rPr>
              <w:t>4、相关防范措施</w:t>
            </w:r>
          </w:p>
          <w:p>
            <w:pPr>
              <w:adjustRightInd w:val="0"/>
              <w:snapToGrid w:val="0"/>
              <w:spacing w:line="360" w:lineRule="auto"/>
              <w:ind w:firstLine="480" w:firstLineChars="200"/>
              <w:rPr>
                <w:bCs/>
                <w:sz w:val="24"/>
              </w:rPr>
            </w:pPr>
            <w:r>
              <w:rPr>
                <w:bCs/>
                <w:sz w:val="24"/>
              </w:rPr>
              <w:t>（1）火灾防范措施</w:t>
            </w:r>
          </w:p>
          <w:p>
            <w:pPr>
              <w:adjustRightInd w:val="0"/>
              <w:snapToGrid w:val="0"/>
              <w:spacing w:line="360" w:lineRule="auto"/>
              <w:ind w:firstLine="480" w:firstLineChars="200"/>
              <w:rPr>
                <w:bCs/>
                <w:sz w:val="24"/>
              </w:rPr>
            </w:pPr>
            <w:r>
              <w:rPr>
                <w:bCs/>
                <w:sz w:val="24"/>
              </w:rPr>
              <w:t>定期对厂区内的用电线路进行检查，发现情况及时汇报处理。定期对工作人员进行消防知识的培训与演练，提高工作人员的防火意识。定期检查消防器材是否可以正常使用，对无法使用的器材及时更换和补充。</w:t>
            </w:r>
          </w:p>
          <w:p>
            <w:pPr>
              <w:adjustRightInd w:val="0"/>
              <w:snapToGrid w:val="0"/>
              <w:spacing w:line="360" w:lineRule="auto"/>
              <w:ind w:firstLine="480" w:firstLineChars="200"/>
              <w:rPr>
                <w:bCs/>
                <w:sz w:val="24"/>
              </w:rPr>
            </w:pPr>
            <w:r>
              <w:rPr>
                <w:bCs/>
                <w:sz w:val="24"/>
              </w:rPr>
              <w:t>（2）废气事故排放影响分析</w:t>
            </w:r>
          </w:p>
          <w:p>
            <w:pPr>
              <w:adjustRightInd w:val="0"/>
              <w:snapToGrid w:val="0"/>
              <w:spacing w:line="360" w:lineRule="auto"/>
              <w:ind w:firstLine="480" w:firstLineChars="200"/>
              <w:rPr>
                <w:bCs/>
                <w:sz w:val="24"/>
              </w:rPr>
            </w:pPr>
            <w:r>
              <w:rPr>
                <w:bCs/>
                <w:sz w:val="24"/>
              </w:rPr>
              <w:t>本项目废气事故排放主要为粉尘处理系统，一旦处理系统发生事故造成污染物将未经处置直接排放，将对周边环境造成不利影响。</w:t>
            </w:r>
          </w:p>
          <w:p>
            <w:pPr>
              <w:adjustRightInd w:val="0"/>
              <w:snapToGrid w:val="0"/>
              <w:spacing w:line="360" w:lineRule="auto"/>
              <w:ind w:firstLine="480" w:firstLineChars="200"/>
              <w:rPr>
                <w:bCs/>
                <w:sz w:val="24"/>
              </w:rPr>
            </w:pPr>
            <w:r>
              <w:rPr>
                <w:bCs/>
                <w:sz w:val="24"/>
              </w:rPr>
              <w:t>因此，项目在运行过程中建设方应加强管理，尽可能避免发生废气治理设施的事故，降低事故工况对大气环境不利影响的风险。同时，建立相关台账，记录废气收集系统、处理设施的主要运行和维护信息。</w:t>
            </w:r>
          </w:p>
          <w:p>
            <w:pPr>
              <w:adjustRightInd w:val="0"/>
              <w:snapToGrid w:val="0"/>
              <w:spacing w:line="360" w:lineRule="auto"/>
              <w:ind w:firstLine="480" w:firstLineChars="200"/>
              <w:rPr>
                <w:bCs/>
                <w:sz w:val="24"/>
              </w:rPr>
            </w:pPr>
            <w:r>
              <w:rPr>
                <w:bCs/>
                <w:sz w:val="24"/>
              </w:rPr>
              <w:t>（3）危险废物及柴油泄露事故环境影响分析及处理措施</w:t>
            </w:r>
          </w:p>
          <w:p>
            <w:pPr>
              <w:adjustRightInd w:val="0"/>
              <w:snapToGrid w:val="0"/>
              <w:spacing w:line="360" w:lineRule="auto"/>
              <w:ind w:firstLine="480" w:firstLineChars="200"/>
              <w:rPr>
                <w:sz w:val="24"/>
              </w:rPr>
            </w:pPr>
            <w:r>
              <w:rPr>
                <w:sz w:val="24"/>
              </w:rPr>
              <w:t>危险废物及柴油发生泄露后，有可能对地表水或土壤造成污染。环评要求：对发生泄露的危险废物重新包装、堆存于危废暂存间内，储存桶下方设置托盘；柴油储存装置柴油发电机周边设置围堰等。如危险废物暂存间、柴油发电机发生破坏，应及时对其进行修理。</w:t>
            </w:r>
          </w:p>
          <w:p>
            <w:pPr>
              <w:adjustRightInd w:val="0"/>
              <w:snapToGrid w:val="0"/>
              <w:spacing w:line="360" w:lineRule="auto"/>
              <w:ind w:firstLine="480" w:firstLineChars="200"/>
              <w:rPr>
                <w:sz w:val="24"/>
              </w:rPr>
            </w:pPr>
            <w:r>
              <w:rPr>
                <w:sz w:val="24"/>
              </w:rPr>
              <w:t>在采取事故应急措施后，预计项目污水站事故排放、危险废物泄露对周边水环境及土壤环境的影响不大。</w:t>
            </w:r>
          </w:p>
          <w:p>
            <w:pPr>
              <w:adjustRightInd w:val="0"/>
              <w:snapToGrid w:val="0"/>
              <w:spacing w:line="360" w:lineRule="auto"/>
              <w:ind w:firstLine="480" w:firstLineChars="200"/>
              <w:rPr>
                <w:sz w:val="24"/>
              </w:rPr>
            </w:pPr>
            <w:r>
              <w:rPr>
                <w:sz w:val="24"/>
              </w:rPr>
              <w:t>5、应急预案</w:t>
            </w:r>
          </w:p>
          <w:p>
            <w:pPr>
              <w:adjustRightInd w:val="0"/>
              <w:snapToGrid w:val="0"/>
              <w:spacing w:line="360" w:lineRule="auto"/>
              <w:ind w:firstLine="480" w:firstLineChars="200"/>
              <w:rPr>
                <w:sz w:val="24"/>
              </w:rPr>
            </w:pPr>
            <w:r>
              <w:rPr>
                <w:sz w:val="24"/>
              </w:rPr>
              <w:t>企业应按国家、地方及行业相关规范要求，制定风险应急预案，并在发现风险时应立刻启动应急预案，采取应急措施阻止风险的蔓延。</w:t>
            </w:r>
          </w:p>
          <w:p>
            <w:pPr>
              <w:adjustRightInd w:val="0"/>
              <w:snapToGrid w:val="0"/>
              <w:spacing w:line="360" w:lineRule="auto"/>
              <w:ind w:firstLine="480" w:firstLineChars="200"/>
              <w:rPr>
                <w:sz w:val="24"/>
              </w:rPr>
            </w:pPr>
            <w:r>
              <w:rPr>
                <w:sz w:val="24"/>
              </w:rPr>
              <w:t>根据《建设项目环境风险评价技术导则》（HJ 169-2018），应急预案内容如表4-16所示。</w:t>
            </w:r>
          </w:p>
          <w:p>
            <w:pPr>
              <w:pStyle w:val="71"/>
              <w:rPr>
                <w:rFonts w:cs="Times New Roman"/>
                <w:szCs w:val="21"/>
              </w:rPr>
            </w:pPr>
            <w:r>
              <w:rPr>
                <w:rFonts w:cs="Times New Roman"/>
                <w:szCs w:val="21"/>
              </w:rPr>
              <w:t>表4-21    应急预案主要内容</w:t>
            </w:r>
          </w:p>
          <w:tbl>
            <w:tblPr>
              <w:tblStyle w:val="25"/>
              <w:tblW w:w="83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2478"/>
              <w:gridCol w:w="5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15" w:type="dxa"/>
                  <w:vAlign w:val="center"/>
                </w:tcPr>
                <w:p>
                  <w:pPr>
                    <w:jc w:val="center"/>
                    <w:rPr>
                      <w:b/>
                      <w:bCs/>
                      <w:szCs w:val="21"/>
                    </w:rPr>
                  </w:pPr>
                  <w:r>
                    <w:rPr>
                      <w:b/>
                      <w:bCs/>
                      <w:szCs w:val="21"/>
                    </w:rPr>
                    <w:t>序号</w:t>
                  </w:r>
                </w:p>
              </w:tc>
              <w:tc>
                <w:tcPr>
                  <w:tcW w:w="2478" w:type="dxa"/>
                  <w:vAlign w:val="center"/>
                </w:tcPr>
                <w:p>
                  <w:pPr>
                    <w:jc w:val="center"/>
                    <w:rPr>
                      <w:b/>
                      <w:bCs/>
                      <w:szCs w:val="21"/>
                    </w:rPr>
                  </w:pPr>
                  <w:r>
                    <w:rPr>
                      <w:b/>
                      <w:bCs/>
                      <w:szCs w:val="21"/>
                    </w:rPr>
                    <w:t>项目</w:t>
                  </w:r>
                </w:p>
              </w:tc>
              <w:tc>
                <w:tcPr>
                  <w:tcW w:w="5374" w:type="dxa"/>
                  <w:vAlign w:val="center"/>
                </w:tcPr>
                <w:p>
                  <w:pPr>
                    <w:jc w:val="center"/>
                    <w:rPr>
                      <w:b/>
                      <w:bCs/>
                      <w:szCs w:val="21"/>
                    </w:rPr>
                  </w:pPr>
                  <w:r>
                    <w:rPr>
                      <w:b/>
                      <w:bCs/>
                      <w:szCs w:val="21"/>
                    </w:rPr>
                    <w:t>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15" w:type="dxa"/>
                  <w:vAlign w:val="center"/>
                </w:tcPr>
                <w:p>
                  <w:pPr>
                    <w:jc w:val="center"/>
                    <w:rPr>
                      <w:szCs w:val="21"/>
                    </w:rPr>
                  </w:pPr>
                  <w:r>
                    <w:rPr>
                      <w:szCs w:val="21"/>
                    </w:rPr>
                    <w:t>1</w:t>
                  </w:r>
                </w:p>
              </w:tc>
              <w:tc>
                <w:tcPr>
                  <w:tcW w:w="2478" w:type="dxa"/>
                  <w:vAlign w:val="center"/>
                </w:tcPr>
                <w:p>
                  <w:pPr>
                    <w:jc w:val="center"/>
                    <w:rPr>
                      <w:szCs w:val="21"/>
                    </w:rPr>
                  </w:pPr>
                  <w:r>
                    <w:rPr>
                      <w:szCs w:val="21"/>
                    </w:rPr>
                    <w:t>应急计划区</w:t>
                  </w:r>
                </w:p>
              </w:tc>
              <w:tc>
                <w:tcPr>
                  <w:tcW w:w="5374" w:type="dxa"/>
                  <w:vAlign w:val="center"/>
                </w:tcPr>
                <w:p>
                  <w:pPr>
                    <w:jc w:val="center"/>
                    <w:rPr>
                      <w:szCs w:val="21"/>
                    </w:rPr>
                  </w:pPr>
                  <w:r>
                    <w:rPr>
                      <w:szCs w:val="21"/>
                    </w:rPr>
                    <w:t>危险目标：原料区、成品库、环境保护目标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15" w:type="dxa"/>
                  <w:vAlign w:val="center"/>
                </w:tcPr>
                <w:p>
                  <w:pPr>
                    <w:jc w:val="center"/>
                    <w:rPr>
                      <w:szCs w:val="21"/>
                    </w:rPr>
                  </w:pPr>
                  <w:r>
                    <w:rPr>
                      <w:szCs w:val="21"/>
                    </w:rPr>
                    <w:t>2</w:t>
                  </w:r>
                </w:p>
              </w:tc>
              <w:tc>
                <w:tcPr>
                  <w:tcW w:w="2478" w:type="dxa"/>
                  <w:vAlign w:val="center"/>
                </w:tcPr>
                <w:p>
                  <w:pPr>
                    <w:jc w:val="center"/>
                    <w:rPr>
                      <w:szCs w:val="21"/>
                    </w:rPr>
                  </w:pPr>
                  <w:r>
                    <w:rPr>
                      <w:szCs w:val="21"/>
                    </w:rPr>
                    <w:t>应急组织机构、人员</w:t>
                  </w:r>
                </w:p>
              </w:tc>
              <w:tc>
                <w:tcPr>
                  <w:tcW w:w="5374" w:type="dxa"/>
                  <w:vAlign w:val="center"/>
                </w:tcPr>
                <w:p>
                  <w:pPr>
                    <w:jc w:val="center"/>
                    <w:rPr>
                      <w:szCs w:val="21"/>
                    </w:rPr>
                  </w:pPr>
                  <w:r>
                    <w:rPr>
                      <w:szCs w:val="21"/>
                    </w:rPr>
                    <w:t>厂内、地区应急组织机构、人员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15" w:type="dxa"/>
                  <w:vAlign w:val="center"/>
                </w:tcPr>
                <w:p>
                  <w:pPr>
                    <w:jc w:val="center"/>
                    <w:rPr>
                      <w:szCs w:val="21"/>
                    </w:rPr>
                  </w:pPr>
                  <w:r>
                    <w:rPr>
                      <w:szCs w:val="21"/>
                    </w:rPr>
                    <w:t>3</w:t>
                  </w:r>
                </w:p>
              </w:tc>
              <w:tc>
                <w:tcPr>
                  <w:tcW w:w="2478" w:type="dxa"/>
                  <w:vAlign w:val="center"/>
                </w:tcPr>
                <w:p>
                  <w:pPr>
                    <w:jc w:val="center"/>
                    <w:rPr>
                      <w:szCs w:val="21"/>
                    </w:rPr>
                  </w:pPr>
                  <w:r>
                    <w:rPr>
                      <w:szCs w:val="21"/>
                    </w:rPr>
                    <w:t>预案分级响应条件</w:t>
                  </w:r>
                </w:p>
              </w:tc>
              <w:tc>
                <w:tcPr>
                  <w:tcW w:w="5374" w:type="dxa"/>
                  <w:vAlign w:val="center"/>
                </w:tcPr>
                <w:p>
                  <w:pPr>
                    <w:jc w:val="center"/>
                    <w:rPr>
                      <w:szCs w:val="21"/>
                    </w:rPr>
                  </w:pPr>
                  <w:r>
                    <w:rPr>
                      <w:szCs w:val="21"/>
                    </w:rPr>
                    <w:t>规定预案的级别及分级响应程序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15" w:type="dxa"/>
                  <w:vAlign w:val="center"/>
                </w:tcPr>
                <w:p>
                  <w:pPr>
                    <w:jc w:val="center"/>
                    <w:rPr>
                      <w:szCs w:val="21"/>
                    </w:rPr>
                  </w:pPr>
                  <w:r>
                    <w:rPr>
                      <w:szCs w:val="21"/>
                    </w:rPr>
                    <w:t>4</w:t>
                  </w:r>
                </w:p>
              </w:tc>
              <w:tc>
                <w:tcPr>
                  <w:tcW w:w="2478" w:type="dxa"/>
                  <w:vAlign w:val="center"/>
                </w:tcPr>
                <w:p>
                  <w:pPr>
                    <w:jc w:val="center"/>
                    <w:rPr>
                      <w:szCs w:val="21"/>
                    </w:rPr>
                  </w:pPr>
                  <w:r>
                    <w:rPr>
                      <w:szCs w:val="21"/>
                    </w:rPr>
                    <w:t>应急救援保障</w:t>
                  </w:r>
                </w:p>
              </w:tc>
              <w:tc>
                <w:tcPr>
                  <w:tcW w:w="5374" w:type="dxa"/>
                  <w:vAlign w:val="center"/>
                </w:tcPr>
                <w:p>
                  <w:pPr>
                    <w:jc w:val="center"/>
                    <w:rPr>
                      <w:szCs w:val="21"/>
                    </w:rPr>
                  </w:pPr>
                  <w:r>
                    <w:rPr>
                      <w:szCs w:val="21"/>
                    </w:rPr>
                    <w:t>应急设施，设备与器材等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15" w:type="dxa"/>
                  <w:vAlign w:val="center"/>
                </w:tcPr>
                <w:p>
                  <w:pPr>
                    <w:jc w:val="center"/>
                    <w:rPr>
                      <w:szCs w:val="21"/>
                    </w:rPr>
                  </w:pPr>
                  <w:r>
                    <w:rPr>
                      <w:szCs w:val="21"/>
                    </w:rPr>
                    <w:t>5</w:t>
                  </w:r>
                </w:p>
              </w:tc>
              <w:tc>
                <w:tcPr>
                  <w:tcW w:w="2478" w:type="dxa"/>
                  <w:vAlign w:val="center"/>
                </w:tcPr>
                <w:p>
                  <w:pPr>
                    <w:jc w:val="center"/>
                    <w:rPr>
                      <w:szCs w:val="21"/>
                    </w:rPr>
                  </w:pPr>
                  <w:r>
                    <w:rPr>
                      <w:szCs w:val="21"/>
                    </w:rPr>
                    <w:t>报警、通讯联络方式</w:t>
                  </w:r>
                </w:p>
              </w:tc>
              <w:tc>
                <w:tcPr>
                  <w:tcW w:w="5374" w:type="dxa"/>
                  <w:vAlign w:val="center"/>
                </w:tcPr>
                <w:p>
                  <w:pPr>
                    <w:jc w:val="center"/>
                    <w:rPr>
                      <w:szCs w:val="21"/>
                    </w:rPr>
                  </w:pPr>
                  <w:r>
                    <w:rPr>
                      <w:szCs w:val="21"/>
                    </w:rPr>
                    <w:t>规定应急状态下的报警通讯方式、通知方式和交通保障、管制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15" w:type="dxa"/>
                  <w:vAlign w:val="center"/>
                </w:tcPr>
                <w:p>
                  <w:pPr>
                    <w:jc w:val="center"/>
                    <w:rPr>
                      <w:szCs w:val="21"/>
                    </w:rPr>
                  </w:pPr>
                  <w:r>
                    <w:rPr>
                      <w:szCs w:val="21"/>
                    </w:rPr>
                    <w:t>6</w:t>
                  </w:r>
                </w:p>
              </w:tc>
              <w:tc>
                <w:tcPr>
                  <w:tcW w:w="2478" w:type="dxa"/>
                  <w:vAlign w:val="center"/>
                </w:tcPr>
                <w:p>
                  <w:pPr>
                    <w:jc w:val="center"/>
                    <w:rPr>
                      <w:szCs w:val="21"/>
                    </w:rPr>
                  </w:pPr>
                  <w:r>
                    <w:rPr>
                      <w:szCs w:val="21"/>
                    </w:rPr>
                    <w:t>应急环境监测、抢险、救援及控制措施</w:t>
                  </w:r>
                </w:p>
              </w:tc>
              <w:tc>
                <w:tcPr>
                  <w:tcW w:w="5374" w:type="dxa"/>
                  <w:vAlign w:val="center"/>
                </w:tcPr>
                <w:p>
                  <w:pPr>
                    <w:jc w:val="center"/>
                    <w:rPr>
                      <w:szCs w:val="21"/>
                    </w:rPr>
                  </w:pPr>
                  <w:r>
                    <w:rPr>
                      <w:szCs w:val="21"/>
                    </w:rPr>
                    <w:t>由专业队伍负责对事故现场进行侦查监测，对事故性质、参数与后果进行评估，为指挥部门提供决策依据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15" w:type="dxa"/>
                  <w:vAlign w:val="center"/>
                </w:tcPr>
                <w:p>
                  <w:pPr>
                    <w:jc w:val="center"/>
                    <w:rPr>
                      <w:szCs w:val="21"/>
                    </w:rPr>
                  </w:pPr>
                  <w:r>
                    <w:rPr>
                      <w:szCs w:val="21"/>
                    </w:rPr>
                    <w:t>7</w:t>
                  </w:r>
                </w:p>
              </w:tc>
              <w:tc>
                <w:tcPr>
                  <w:tcW w:w="2478" w:type="dxa"/>
                  <w:vAlign w:val="center"/>
                </w:tcPr>
                <w:p>
                  <w:pPr>
                    <w:jc w:val="center"/>
                    <w:rPr>
                      <w:szCs w:val="21"/>
                    </w:rPr>
                  </w:pPr>
                  <w:r>
                    <w:rPr>
                      <w:szCs w:val="21"/>
                    </w:rPr>
                    <w:t>应急监测、防护措施、清除泄漏措施和器材</w:t>
                  </w:r>
                </w:p>
              </w:tc>
              <w:tc>
                <w:tcPr>
                  <w:tcW w:w="5374" w:type="dxa"/>
                  <w:vAlign w:val="center"/>
                </w:tcPr>
                <w:p>
                  <w:pPr>
                    <w:jc w:val="center"/>
                    <w:rPr>
                      <w:szCs w:val="21"/>
                    </w:rPr>
                  </w:pPr>
                  <w:r>
                    <w:rPr>
                      <w:szCs w:val="21"/>
                    </w:rPr>
                    <w:t>事故现场、临近区域、控制防火区域，控制和清除污染措施及相应设备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15" w:type="dxa"/>
                  <w:vAlign w:val="center"/>
                </w:tcPr>
                <w:p>
                  <w:pPr>
                    <w:jc w:val="center"/>
                    <w:rPr>
                      <w:szCs w:val="21"/>
                    </w:rPr>
                  </w:pPr>
                  <w:r>
                    <w:rPr>
                      <w:szCs w:val="21"/>
                    </w:rPr>
                    <w:t>8</w:t>
                  </w:r>
                </w:p>
              </w:tc>
              <w:tc>
                <w:tcPr>
                  <w:tcW w:w="2478" w:type="dxa"/>
                  <w:vAlign w:val="center"/>
                </w:tcPr>
                <w:p>
                  <w:pPr>
                    <w:jc w:val="center"/>
                    <w:rPr>
                      <w:szCs w:val="21"/>
                    </w:rPr>
                  </w:pPr>
                  <w:r>
                    <w:rPr>
                      <w:szCs w:val="21"/>
                    </w:rPr>
                    <w:t>人员紧急撤离、疏散、应急计量控制、撤离组织计划</w:t>
                  </w:r>
                </w:p>
              </w:tc>
              <w:tc>
                <w:tcPr>
                  <w:tcW w:w="5374" w:type="dxa"/>
                  <w:vAlign w:val="center"/>
                </w:tcPr>
                <w:p>
                  <w:pPr>
                    <w:jc w:val="center"/>
                    <w:rPr>
                      <w:szCs w:val="21"/>
                    </w:rPr>
                  </w:pPr>
                  <w:r>
                    <w:rPr>
                      <w:szCs w:val="21"/>
                    </w:rPr>
                    <w:t>事故现场、厂区临近区、受事故影响的区域人员及公众对毒物应急计量控制规定，撤离组织计划及救护，医疗救护与公众健康。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15" w:type="dxa"/>
                  <w:vAlign w:val="center"/>
                </w:tcPr>
                <w:p>
                  <w:pPr>
                    <w:jc w:val="center"/>
                    <w:rPr>
                      <w:szCs w:val="21"/>
                    </w:rPr>
                  </w:pPr>
                  <w:r>
                    <w:rPr>
                      <w:szCs w:val="21"/>
                    </w:rPr>
                    <w:t>9</w:t>
                  </w:r>
                </w:p>
              </w:tc>
              <w:tc>
                <w:tcPr>
                  <w:tcW w:w="2478" w:type="dxa"/>
                  <w:vAlign w:val="center"/>
                </w:tcPr>
                <w:p>
                  <w:pPr>
                    <w:jc w:val="center"/>
                    <w:rPr>
                      <w:szCs w:val="21"/>
                    </w:rPr>
                  </w:pPr>
                  <w:r>
                    <w:rPr>
                      <w:szCs w:val="21"/>
                    </w:rPr>
                    <w:t>事故应急救援关闭程序与恢复措施</w:t>
                  </w:r>
                </w:p>
              </w:tc>
              <w:tc>
                <w:tcPr>
                  <w:tcW w:w="5374" w:type="dxa"/>
                  <w:vAlign w:val="center"/>
                </w:tcPr>
                <w:p>
                  <w:pPr>
                    <w:jc w:val="center"/>
                    <w:rPr>
                      <w:szCs w:val="21"/>
                    </w:rPr>
                  </w:pPr>
                  <w:r>
                    <w:rPr>
                      <w:szCs w:val="21"/>
                    </w:rPr>
                    <w:t>规定应急状态终止程序；事故现场善后处理，恢复措施；临近区域接触事故警戒及善后恢复措施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15" w:type="dxa"/>
                  <w:vAlign w:val="center"/>
                </w:tcPr>
                <w:p>
                  <w:pPr>
                    <w:jc w:val="center"/>
                    <w:rPr>
                      <w:szCs w:val="21"/>
                    </w:rPr>
                  </w:pPr>
                  <w:r>
                    <w:rPr>
                      <w:szCs w:val="21"/>
                    </w:rPr>
                    <w:t>10</w:t>
                  </w:r>
                </w:p>
              </w:tc>
              <w:tc>
                <w:tcPr>
                  <w:tcW w:w="2478" w:type="dxa"/>
                  <w:vAlign w:val="center"/>
                </w:tcPr>
                <w:p>
                  <w:pPr>
                    <w:jc w:val="center"/>
                    <w:rPr>
                      <w:szCs w:val="21"/>
                    </w:rPr>
                  </w:pPr>
                  <w:r>
                    <w:rPr>
                      <w:szCs w:val="21"/>
                    </w:rPr>
                    <w:t>应急培训计划</w:t>
                  </w:r>
                </w:p>
              </w:tc>
              <w:tc>
                <w:tcPr>
                  <w:tcW w:w="5374" w:type="dxa"/>
                  <w:vAlign w:val="center"/>
                </w:tcPr>
                <w:p>
                  <w:pPr>
                    <w:jc w:val="center"/>
                    <w:rPr>
                      <w:szCs w:val="21"/>
                    </w:rPr>
                  </w:pPr>
                  <w:r>
                    <w:rPr>
                      <w:szCs w:val="21"/>
                    </w:rPr>
                    <w:t>应急计划制定后，平时安排人员培训及演练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15" w:type="dxa"/>
                  <w:vAlign w:val="center"/>
                </w:tcPr>
                <w:p>
                  <w:pPr>
                    <w:jc w:val="center"/>
                    <w:rPr>
                      <w:szCs w:val="21"/>
                    </w:rPr>
                  </w:pPr>
                  <w:r>
                    <w:rPr>
                      <w:szCs w:val="21"/>
                    </w:rPr>
                    <w:t>11</w:t>
                  </w:r>
                </w:p>
              </w:tc>
              <w:tc>
                <w:tcPr>
                  <w:tcW w:w="2478" w:type="dxa"/>
                  <w:vAlign w:val="center"/>
                </w:tcPr>
                <w:p>
                  <w:pPr>
                    <w:jc w:val="center"/>
                    <w:rPr>
                      <w:szCs w:val="21"/>
                    </w:rPr>
                  </w:pPr>
                  <w:r>
                    <w:rPr>
                      <w:szCs w:val="21"/>
                    </w:rPr>
                    <w:t>公众教育和信息</w:t>
                  </w:r>
                </w:p>
              </w:tc>
              <w:tc>
                <w:tcPr>
                  <w:tcW w:w="5374" w:type="dxa"/>
                  <w:vAlign w:val="center"/>
                </w:tcPr>
                <w:p>
                  <w:pPr>
                    <w:jc w:val="center"/>
                    <w:rPr>
                      <w:szCs w:val="21"/>
                    </w:rPr>
                  </w:pPr>
                  <w:r>
                    <w:rPr>
                      <w:szCs w:val="21"/>
                    </w:rPr>
                    <w:t>对工厂临近地区开展公众教育、培训和发布有关信息</w:t>
                  </w:r>
                </w:p>
              </w:tc>
            </w:tr>
          </w:tbl>
          <w:p>
            <w:pPr>
              <w:pStyle w:val="71"/>
              <w:rPr>
                <w:rFonts w:cs="Times New Roman"/>
                <w:szCs w:val="21"/>
              </w:rPr>
            </w:pPr>
            <w:r>
              <w:rPr>
                <w:rFonts w:cs="Times New Roman"/>
                <w:szCs w:val="21"/>
              </w:rPr>
              <w:t>表4-22    建设项目环境风险简单分析内容表</w:t>
            </w:r>
          </w:p>
          <w:tbl>
            <w:tblPr>
              <w:tblStyle w:val="25"/>
              <w:tblW w:w="83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768"/>
              <w:gridCol w:w="776"/>
              <w:gridCol w:w="1911"/>
              <w:gridCol w:w="917"/>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2768" w:type="dxa"/>
                  <w:shd w:val="clear" w:color="auto" w:fill="auto"/>
                  <w:vAlign w:val="center"/>
                </w:tcPr>
                <w:p>
                  <w:pPr>
                    <w:pStyle w:val="75"/>
                    <w:spacing w:before="24" w:after="24"/>
                  </w:pPr>
                  <w:r>
                    <w:t>建设项目名称</w:t>
                  </w:r>
                </w:p>
              </w:tc>
              <w:tc>
                <w:tcPr>
                  <w:tcW w:w="5599" w:type="dxa"/>
                  <w:gridSpan w:val="4"/>
                  <w:shd w:val="clear" w:color="auto" w:fill="auto"/>
                  <w:vAlign w:val="center"/>
                </w:tcPr>
                <w:p>
                  <w:pPr>
                    <w:pStyle w:val="75"/>
                    <w:spacing w:before="24" w:after="24"/>
                  </w:pPr>
                  <w:r>
                    <w:t>白石镇鑫业砂石料加工场建设项目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2768" w:type="dxa"/>
                  <w:shd w:val="clear" w:color="auto" w:fill="auto"/>
                  <w:vAlign w:val="center"/>
                </w:tcPr>
                <w:p>
                  <w:pPr>
                    <w:pStyle w:val="75"/>
                    <w:spacing w:before="24" w:after="24"/>
                  </w:pPr>
                  <w:r>
                    <w:t>建设地点</w:t>
                  </w:r>
                </w:p>
              </w:tc>
              <w:tc>
                <w:tcPr>
                  <w:tcW w:w="5599" w:type="dxa"/>
                  <w:gridSpan w:val="4"/>
                  <w:shd w:val="clear" w:color="auto" w:fill="auto"/>
                  <w:vAlign w:val="center"/>
                </w:tcPr>
                <w:p>
                  <w:pPr>
                    <w:pStyle w:val="75"/>
                    <w:spacing w:before="24" w:after="24"/>
                  </w:pPr>
                  <w:r>
                    <w:t>云南省大理白族自治州云龙县白石镇中和村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2768" w:type="dxa"/>
                  <w:shd w:val="clear" w:color="auto" w:fill="auto"/>
                  <w:vAlign w:val="center"/>
                </w:tcPr>
                <w:p>
                  <w:pPr>
                    <w:pStyle w:val="75"/>
                    <w:spacing w:before="24" w:after="24"/>
                  </w:pPr>
                  <w:r>
                    <w:t>地理坐标</w:t>
                  </w:r>
                </w:p>
              </w:tc>
              <w:tc>
                <w:tcPr>
                  <w:tcW w:w="776" w:type="dxa"/>
                  <w:shd w:val="clear" w:color="auto" w:fill="auto"/>
                  <w:vAlign w:val="center"/>
                </w:tcPr>
                <w:p>
                  <w:pPr>
                    <w:pStyle w:val="75"/>
                    <w:spacing w:before="24" w:after="24"/>
                  </w:pPr>
                  <w:r>
                    <w:t>经度</w:t>
                  </w:r>
                </w:p>
              </w:tc>
              <w:tc>
                <w:tcPr>
                  <w:tcW w:w="1911" w:type="dxa"/>
                  <w:shd w:val="clear" w:color="auto" w:fill="auto"/>
                  <w:vAlign w:val="center"/>
                </w:tcPr>
                <w:p>
                  <w:pPr>
                    <w:pStyle w:val="75"/>
                    <w:spacing w:before="24" w:after="24"/>
                  </w:pPr>
                  <w:r>
                    <w:t>99</w:t>
                  </w:r>
                  <w:r>
                    <w:rPr>
                      <w:rFonts w:hint="eastAsia"/>
                    </w:rPr>
                    <w:t xml:space="preserve"> 度 </w:t>
                  </w:r>
                  <w:r>
                    <w:t>25</w:t>
                  </w:r>
                  <w:r>
                    <w:rPr>
                      <w:rFonts w:hint="eastAsia"/>
                    </w:rPr>
                    <w:t xml:space="preserve"> 分 </w:t>
                  </w:r>
                  <w:r>
                    <w:t>55.833</w:t>
                  </w:r>
                  <w:r>
                    <w:rPr>
                      <w:rFonts w:hint="eastAsia"/>
                    </w:rPr>
                    <w:t xml:space="preserve"> 秒</w:t>
                  </w:r>
                </w:p>
              </w:tc>
              <w:tc>
                <w:tcPr>
                  <w:tcW w:w="917" w:type="dxa"/>
                  <w:shd w:val="clear" w:color="auto" w:fill="auto"/>
                  <w:vAlign w:val="center"/>
                </w:tcPr>
                <w:p>
                  <w:pPr>
                    <w:pStyle w:val="75"/>
                    <w:spacing w:before="24" w:after="24"/>
                  </w:pPr>
                  <w:r>
                    <w:t>纬度</w:t>
                  </w:r>
                </w:p>
              </w:tc>
              <w:tc>
                <w:tcPr>
                  <w:tcW w:w="1995" w:type="dxa"/>
                  <w:shd w:val="clear" w:color="auto" w:fill="auto"/>
                  <w:vAlign w:val="center"/>
                </w:tcPr>
                <w:p>
                  <w:pPr>
                    <w:pStyle w:val="75"/>
                    <w:spacing w:before="24" w:after="24"/>
                  </w:pPr>
                  <w:r>
                    <w:t>26</w:t>
                  </w:r>
                  <w:r>
                    <w:rPr>
                      <w:rFonts w:hint="eastAsia"/>
                    </w:rPr>
                    <w:t xml:space="preserve">度 </w:t>
                  </w:r>
                  <w:r>
                    <w:t>12</w:t>
                  </w:r>
                  <w:r>
                    <w:rPr>
                      <w:rFonts w:hint="eastAsia"/>
                    </w:rPr>
                    <w:t xml:space="preserve">分 </w:t>
                  </w:r>
                  <w:r>
                    <w:t>19.720</w:t>
                  </w:r>
                  <w:r>
                    <w:rPr>
                      <w:rFonts w:hint="eastAsia"/>
                    </w:rPr>
                    <w:t xml:space="preserve">  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2768" w:type="dxa"/>
                  <w:shd w:val="clear" w:color="auto" w:fill="auto"/>
                  <w:vAlign w:val="center"/>
                </w:tcPr>
                <w:p>
                  <w:pPr>
                    <w:pStyle w:val="75"/>
                    <w:spacing w:before="24" w:after="24"/>
                  </w:pPr>
                  <w:r>
                    <w:t>主要危险物质及分布</w:t>
                  </w:r>
                </w:p>
              </w:tc>
              <w:tc>
                <w:tcPr>
                  <w:tcW w:w="5599" w:type="dxa"/>
                  <w:gridSpan w:val="4"/>
                  <w:shd w:val="clear" w:color="auto" w:fill="auto"/>
                  <w:vAlign w:val="center"/>
                </w:tcPr>
                <w:p>
                  <w:pPr>
                    <w:pStyle w:val="75"/>
                    <w:spacing w:before="24" w:after="24"/>
                  </w:pPr>
                  <w:r>
                    <w:t>危险废物贮存在危险废物暂存间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2768" w:type="dxa"/>
                  <w:shd w:val="clear" w:color="auto" w:fill="auto"/>
                  <w:vAlign w:val="center"/>
                </w:tcPr>
                <w:p>
                  <w:pPr>
                    <w:pStyle w:val="75"/>
                    <w:spacing w:before="24" w:after="24"/>
                  </w:pPr>
                  <w:r>
                    <w:t>环境影响途径及危害后果</w:t>
                  </w:r>
                </w:p>
                <w:p>
                  <w:pPr>
                    <w:pStyle w:val="75"/>
                    <w:spacing w:before="24" w:after="24"/>
                  </w:pPr>
                  <w:r>
                    <w:t>（大气、地表水、地下水等）</w:t>
                  </w:r>
                </w:p>
              </w:tc>
              <w:tc>
                <w:tcPr>
                  <w:tcW w:w="5599" w:type="dxa"/>
                  <w:gridSpan w:val="4"/>
                  <w:shd w:val="clear" w:color="auto" w:fill="auto"/>
                  <w:vAlign w:val="center"/>
                </w:tcPr>
                <w:p>
                  <w:pPr>
                    <w:pStyle w:val="75"/>
                    <w:spacing w:before="24" w:after="24"/>
                  </w:pPr>
                  <w:r>
                    <w:t>大气：废气事故排放造成次生环境影响；</w:t>
                  </w:r>
                </w:p>
                <w:p>
                  <w:pPr>
                    <w:pStyle w:val="75"/>
                    <w:spacing w:before="24" w:after="24"/>
                  </w:pPr>
                  <w:r>
                    <w:t>地表水及土壤：危险废物泄露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2768" w:type="dxa"/>
                  <w:shd w:val="clear" w:color="auto" w:fill="auto"/>
                  <w:vAlign w:val="center"/>
                </w:tcPr>
                <w:p>
                  <w:pPr>
                    <w:pStyle w:val="75"/>
                    <w:spacing w:before="24" w:after="24"/>
                  </w:pPr>
                  <w:r>
                    <w:t>风险防范措施要求</w:t>
                  </w:r>
                </w:p>
              </w:tc>
              <w:tc>
                <w:tcPr>
                  <w:tcW w:w="5599" w:type="dxa"/>
                  <w:gridSpan w:val="4"/>
                  <w:shd w:val="clear" w:color="auto" w:fill="auto"/>
                  <w:vAlign w:val="center"/>
                </w:tcPr>
                <w:p>
                  <w:pPr>
                    <w:pStyle w:val="75"/>
                    <w:spacing w:beforeLines="0" w:afterLines="0" w:line="240" w:lineRule="auto"/>
                    <w:ind w:firstLine="420" w:firstLineChars="200"/>
                    <w:jc w:val="both"/>
                  </w:pPr>
                  <w:r>
                    <w:t>（1）火灾防范措施</w:t>
                  </w:r>
                </w:p>
                <w:p>
                  <w:pPr>
                    <w:pStyle w:val="75"/>
                    <w:spacing w:beforeLines="0" w:afterLines="0" w:line="240" w:lineRule="auto"/>
                    <w:ind w:firstLine="420" w:firstLineChars="200"/>
                    <w:jc w:val="both"/>
                  </w:pPr>
                  <w:r>
                    <w:t>定期对厂区内的用电线路进行检查，发现情况及时汇报处理。定期对工作人员进行消防知识的培训与演练，提高工作人员的防火意识。定期检查消防器材是否可以正常使用，对无法使用的器材及时更换和补充。</w:t>
                  </w:r>
                </w:p>
                <w:p>
                  <w:pPr>
                    <w:pStyle w:val="75"/>
                    <w:spacing w:beforeLines="0" w:afterLines="0" w:line="240" w:lineRule="auto"/>
                    <w:ind w:firstLine="420" w:firstLineChars="200"/>
                    <w:jc w:val="both"/>
                  </w:pPr>
                  <w:r>
                    <w:t>（2）废气事故排放影响分析</w:t>
                  </w:r>
                </w:p>
                <w:p>
                  <w:pPr>
                    <w:pStyle w:val="75"/>
                    <w:spacing w:beforeLines="0" w:afterLines="0" w:line="240" w:lineRule="auto"/>
                    <w:ind w:firstLine="420" w:firstLineChars="200"/>
                    <w:jc w:val="both"/>
                  </w:pPr>
                  <w:r>
                    <w:t>本项目废气事故排放主要为粉尘处理系统，一旦处理系统发生事故客流-污染物将未经处置直接排放，将对周边环境造成不利影响。</w:t>
                  </w:r>
                </w:p>
                <w:p>
                  <w:pPr>
                    <w:pStyle w:val="75"/>
                    <w:spacing w:beforeLines="0" w:afterLines="0" w:line="240" w:lineRule="auto"/>
                    <w:ind w:firstLine="420" w:firstLineChars="200"/>
                    <w:jc w:val="both"/>
                  </w:pPr>
                  <w:r>
                    <w:t>因此，项目在运行过程中建设方应加强管理，尽可能避免发生废气治理设施的事故，降低事故工况对大气环境不利影响的风险。</w:t>
                  </w:r>
                </w:p>
                <w:p>
                  <w:pPr>
                    <w:pStyle w:val="75"/>
                    <w:spacing w:beforeLines="0" w:afterLines="0" w:line="240" w:lineRule="auto"/>
                    <w:ind w:firstLine="420" w:firstLineChars="200"/>
                    <w:jc w:val="both"/>
                  </w:pPr>
                  <w:r>
                    <w:t>（3）危险废物、柴油泄露事故环境影响分析及处理措施</w:t>
                  </w:r>
                </w:p>
                <w:p>
                  <w:pPr>
                    <w:pStyle w:val="75"/>
                    <w:spacing w:beforeLines="0" w:afterLines="0" w:line="240" w:lineRule="auto"/>
                    <w:ind w:firstLine="420" w:firstLineChars="200"/>
                    <w:jc w:val="both"/>
                  </w:pPr>
                  <w:r>
                    <w:t>危险废物及柴油发生泄露后，有可能对地表水或土壤造成污染。环评要求：对发生泄露的危险废物重新包装、堆存于危废暂存间内，储存桶下方设置托盘；柴油储存装置柴油发电机周边设置围堰等。如危险废物暂存间、柴油发电机发生破坏，应及时对其进行修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367" w:type="dxa"/>
                  <w:gridSpan w:val="5"/>
                  <w:shd w:val="clear" w:color="auto" w:fill="auto"/>
                  <w:vAlign w:val="center"/>
                </w:tcPr>
                <w:p>
                  <w:pPr>
                    <w:pStyle w:val="75"/>
                    <w:spacing w:before="24" w:after="24"/>
                    <w:jc w:val="both"/>
                  </w:pPr>
                  <w:r>
                    <w:t>填表说明：</w:t>
                  </w:r>
                </w:p>
                <w:p>
                  <w:pPr>
                    <w:pStyle w:val="75"/>
                    <w:spacing w:before="24" w:after="24"/>
                    <w:ind w:firstLine="420" w:firstLineChars="200"/>
                    <w:jc w:val="both"/>
                  </w:pPr>
                  <w:r>
                    <w:t>本项目Q值小于1，不构成重大风险源，项目环境风险潜势为Ⅰ，做简单分析。</w:t>
                  </w:r>
                </w:p>
              </w:tc>
            </w:tr>
          </w:tbl>
          <w:p>
            <w:pPr>
              <w:adjustRightInd w:val="0"/>
              <w:snapToGrid w:val="0"/>
              <w:rPr>
                <w:bCs/>
                <w:spacing w:val="-10"/>
                <w:szCs w:val="21"/>
              </w:rPr>
            </w:pPr>
          </w:p>
          <w:p/>
          <w:p>
            <w:pPr>
              <w:pStyle w:val="6"/>
            </w:pPr>
          </w:p>
          <w:p/>
          <w:p>
            <w:pPr>
              <w:pStyle w:val="6"/>
            </w:pPr>
          </w:p>
          <w:p/>
          <w:p>
            <w:pPr>
              <w:pStyle w:val="6"/>
            </w:pPr>
          </w:p>
          <w:p/>
          <w:p>
            <w:pPr>
              <w:pStyle w:val="6"/>
            </w:pPr>
          </w:p>
          <w:p/>
          <w:p>
            <w:pPr>
              <w:pStyle w:val="6"/>
            </w:pPr>
          </w:p>
          <w:p/>
          <w:p>
            <w:pPr>
              <w:pStyle w:val="6"/>
            </w:pPr>
          </w:p>
          <w:p/>
          <w:p>
            <w:pPr>
              <w:pStyle w:val="6"/>
            </w:pPr>
          </w:p>
          <w:p/>
          <w:p>
            <w:pPr>
              <w:pStyle w:val="6"/>
            </w:pPr>
          </w:p>
          <w:p/>
          <w:p>
            <w:pPr>
              <w:pStyle w:val="6"/>
            </w:pPr>
          </w:p>
          <w:p/>
          <w:p>
            <w:pPr>
              <w:pStyle w:val="6"/>
            </w:pPr>
          </w:p>
          <w:p/>
          <w:p>
            <w:pPr>
              <w:pStyle w:val="6"/>
            </w:pPr>
          </w:p>
          <w:p/>
        </w:tc>
      </w:tr>
    </w:tbl>
    <w:p>
      <w:pPr>
        <w:adjustRightInd w:val="0"/>
        <w:snapToGrid w:val="0"/>
        <w:spacing w:line="360" w:lineRule="auto"/>
        <w:rPr>
          <w:b/>
          <w:kern w:val="0"/>
          <w:sz w:val="28"/>
          <w:szCs w:val="28"/>
        </w:rPr>
        <w:sectPr>
          <w:pgSz w:w="11907" w:h="16840"/>
          <w:pgMar w:top="1134" w:right="1247" w:bottom="1134" w:left="1417" w:header="851" w:footer="851" w:gutter="0"/>
          <w:pgNumType w:fmt="numberInDash"/>
          <w:cols w:space="720" w:num="1"/>
          <w:docGrid w:linePitch="312" w:charSpace="0"/>
        </w:sectPr>
      </w:pPr>
    </w:p>
    <w:p>
      <w:pPr>
        <w:pStyle w:val="22"/>
        <w:jc w:val="center"/>
        <w:outlineLvl w:val="0"/>
        <w:rPr>
          <w:rFonts w:ascii="Times New Roman" w:hAnsi="Times New Roman" w:eastAsia="黑体"/>
          <w:snapToGrid w:val="0"/>
          <w:sz w:val="30"/>
          <w:szCs w:val="30"/>
        </w:rPr>
      </w:pPr>
      <w:bookmarkStart w:id="17" w:name="_Toc18223"/>
      <w:r>
        <w:rPr>
          <w:rFonts w:ascii="Times New Roman" w:hAnsi="Times New Roman" w:eastAsia="黑体"/>
          <w:snapToGrid w:val="0"/>
          <w:sz w:val="30"/>
          <w:szCs w:val="30"/>
        </w:rPr>
        <w:t>五、</w:t>
      </w:r>
      <w:bookmarkStart w:id="18" w:name="_Hlk54167917"/>
      <w:r>
        <w:rPr>
          <w:rFonts w:ascii="Times New Roman" w:hAnsi="Times New Roman" w:eastAsia="黑体"/>
          <w:snapToGrid w:val="0"/>
          <w:sz w:val="30"/>
          <w:szCs w:val="30"/>
        </w:rPr>
        <w:t>环境保护措施监督检查清单</w:t>
      </w:r>
      <w:bookmarkEnd w:id="17"/>
      <w:bookmarkEnd w:id="18"/>
    </w:p>
    <w:tbl>
      <w:tblPr>
        <w:tblStyle w:val="25"/>
        <w:tblW w:w="1476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555"/>
        <w:gridCol w:w="2962"/>
        <w:gridCol w:w="2336"/>
        <w:gridCol w:w="3287"/>
        <w:gridCol w:w="36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55" w:type="dxa"/>
            <w:tcBorders>
              <w:tl2br w:val="single" w:color="auto" w:sz="4" w:space="0"/>
            </w:tcBorders>
          </w:tcPr>
          <w:p>
            <w:pPr>
              <w:adjustRightInd w:val="0"/>
              <w:snapToGrid w:val="0"/>
              <w:ind w:firstLine="840"/>
              <w:jc w:val="right"/>
              <w:rPr>
                <w:szCs w:val="21"/>
              </w:rPr>
            </w:pPr>
            <w:r>
              <w:rPr>
                <w:szCs w:val="21"/>
              </w:rPr>
              <w:t>内容</w:t>
            </w:r>
          </w:p>
          <w:p>
            <w:pPr>
              <w:adjustRightInd w:val="0"/>
              <w:snapToGrid w:val="0"/>
              <w:rPr>
                <w:szCs w:val="21"/>
              </w:rPr>
            </w:pPr>
            <w:r>
              <w:rPr>
                <w:szCs w:val="21"/>
              </w:rPr>
              <w:t>要素</w:t>
            </w:r>
          </w:p>
        </w:tc>
        <w:tc>
          <w:tcPr>
            <w:tcW w:w="2962" w:type="dxa"/>
            <w:vAlign w:val="center"/>
          </w:tcPr>
          <w:p>
            <w:pPr>
              <w:adjustRightInd w:val="0"/>
              <w:snapToGrid w:val="0"/>
              <w:jc w:val="center"/>
              <w:rPr>
                <w:szCs w:val="21"/>
              </w:rPr>
            </w:pPr>
            <w:r>
              <w:rPr>
                <w:szCs w:val="21"/>
              </w:rPr>
              <w:t>排放口(编号、名称)/污染源</w:t>
            </w:r>
          </w:p>
        </w:tc>
        <w:tc>
          <w:tcPr>
            <w:tcW w:w="2336" w:type="dxa"/>
            <w:vAlign w:val="center"/>
          </w:tcPr>
          <w:p>
            <w:pPr>
              <w:adjustRightInd w:val="0"/>
              <w:snapToGrid w:val="0"/>
              <w:jc w:val="center"/>
              <w:rPr>
                <w:szCs w:val="21"/>
              </w:rPr>
            </w:pPr>
            <w:r>
              <w:rPr>
                <w:szCs w:val="21"/>
              </w:rPr>
              <w:t>污染物项目</w:t>
            </w:r>
          </w:p>
        </w:tc>
        <w:tc>
          <w:tcPr>
            <w:tcW w:w="3287" w:type="dxa"/>
            <w:vAlign w:val="center"/>
          </w:tcPr>
          <w:p>
            <w:pPr>
              <w:adjustRightInd w:val="0"/>
              <w:snapToGrid w:val="0"/>
              <w:jc w:val="center"/>
              <w:rPr>
                <w:szCs w:val="21"/>
              </w:rPr>
            </w:pPr>
            <w:r>
              <w:rPr>
                <w:szCs w:val="21"/>
              </w:rPr>
              <w:t>环境保护措施</w:t>
            </w:r>
          </w:p>
        </w:tc>
        <w:tc>
          <w:tcPr>
            <w:tcW w:w="3628" w:type="dxa"/>
            <w:vAlign w:val="center"/>
          </w:tcPr>
          <w:p>
            <w:pPr>
              <w:adjustRightInd w:val="0"/>
              <w:snapToGrid w:val="0"/>
              <w:jc w:val="center"/>
              <w:rPr>
                <w:szCs w:val="21"/>
              </w:rPr>
            </w:pPr>
            <w:r>
              <w:rPr>
                <w:szCs w:val="21"/>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55" w:type="dxa"/>
            <w:vMerge w:val="restart"/>
            <w:vAlign w:val="center"/>
          </w:tcPr>
          <w:p>
            <w:pPr>
              <w:adjustRightInd w:val="0"/>
              <w:snapToGrid w:val="0"/>
              <w:jc w:val="center"/>
              <w:rPr>
                <w:szCs w:val="21"/>
              </w:rPr>
            </w:pPr>
            <w:r>
              <w:rPr>
                <w:szCs w:val="21"/>
              </w:rPr>
              <w:t>大气环境</w:t>
            </w:r>
          </w:p>
        </w:tc>
        <w:tc>
          <w:tcPr>
            <w:tcW w:w="2962" w:type="dxa"/>
            <w:vAlign w:val="center"/>
          </w:tcPr>
          <w:p>
            <w:pPr>
              <w:pStyle w:val="58"/>
              <w:widowControl w:val="0"/>
              <w:spacing w:before="0" w:beforeLines="0" w:line="240" w:lineRule="auto"/>
              <w:ind w:right="0"/>
            </w:pPr>
            <w:r>
              <w:t>加工粉尘</w:t>
            </w:r>
          </w:p>
        </w:tc>
        <w:tc>
          <w:tcPr>
            <w:tcW w:w="2336" w:type="dxa"/>
            <w:vAlign w:val="center"/>
          </w:tcPr>
          <w:p>
            <w:pPr>
              <w:pStyle w:val="58"/>
              <w:widowControl w:val="0"/>
              <w:spacing w:before="0" w:beforeLines="0" w:line="240" w:lineRule="auto"/>
              <w:ind w:right="0"/>
            </w:pPr>
            <w:r>
              <w:t>颗粒物</w:t>
            </w:r>
          </w:p>
        </w:tc>
        <w:tc>
          <w:tcPr>
            <w:tcW w:w="3287" w:type="dxa"/>
            <w:vAlign w:val="center"/>
          </w:tcPr>
          <w:p>
            <w:pPr>
              <w:adjustRightInd w:val="0"/>
              <w:snapToGrid w:val="0"/>
              <w:jc w:val="center"/>
              <w:rPr>
                <w:szCs w:val="21"/>
              </w:rPr>
            </w:pPr>
            <w:r>
              <w:rPr>
                <w:szCs w:val="21"/>
              </w:rPr>
              <w:t>车间密闭+喷雾抑尘+湿式加工</w:t>
            </w:r>
          </w:p>
        </w:tc>
        <w:tc>
          <w:tcPr>
            <w:tcW w:w="3628" w:type="dxa"/>
            <w:vMerge w:val="restart"/>
            <w:vAlign w:val="center"/>
          </w:tcPr>
          <w:p>
            <w:pPr>
              <w:adjustRightInd w:val="0"/>
              <w:snapToGrid w:val="0"/>
              <w:jc w:val="center"/>
              <w:rPr>
                <w:szCs w:val="21"/>
              </w:rPr>
            </w:pPr>
            <w:r>
              <w:rPr>
                <w:szCs w:val="21"/>
              </w:rPr>
              <w:t>《大气污染物综合排放标准》(GB16297-1996）表2无组织标准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70" w:hRule="atLeast"/>
          <w:jc w:val="center"/>
        </w:trPr>
        <w:tc>
          <w:tcPr>
            <w:tcW w:w="2555" w:type="dxa"/>
            <w:vMerge w:val="continue"/>
            <w:vAlign w:val="center"/>
          </w:tcPr>
          <w:p>
            <w:pPr>
              <w:adjustRightInd w:val="0"/>
              <w:snapToGrid w:val="0"/>
              <w:jc w:val="center"/>
              <w:rPr>
                <w:szCs w:val="21"/>
              </w:rPr>
            </w:pPr>
          </w:p>
        </w:tc>
        <w:tc>
          <w:tcPr>
            <w:tcW w:w="2962" w:type="dxa"/>
            <w:vAlign w:val="center"/>
          </w:tcPr>
          <w:p>
            <w:pPr>
              <w:pStyle w:val="58"/>
              <w:widowControl w:val="0"/>
              <w:spacing w:before="0" w:beforeLines="0" w:line="240" w:lineRule="auto"/>
              <w:ind w:right="0"/>
            </w:pPr>
            <w:r>
              <w:t>装卸粉尘、堆场扬尘</w:t>
            </w:r>
          </w:p>
        </w:tc>
        <w:tc>
          <w:tcPr>
            <w:tcW w:w="2336" w:type="dxa"/>
            <w:vAlign w:val="center"/>
          </w:tcPr>
          <w:p>
            <w:pPr>
              <w:pStyle w:val="58"/>
              <w:widowControl w:val="0"/>
              <w:spacing w:before="0" w:beforeLines="0" w:line="240" w:lineRule="auto"/>
              <w:ind w:right="0"/>
            </w:pPr>
            <w:r>
              <w:t>无组织颗粒物</w:t>
            </w:r>
          </w:p>
        </w:tc>
        <w:tc>
          <w:tcPr>
            <w:tcW w:w="3287" w:type="dxa"/>
            <w:vAlign w:val="center"/>
          </w:tcPr>
          <w:p>
            <w:pPr>
              <w:adjustRightInd w:val="0"/>
              <w:snapToGrid w:val="0"/>
              <w:jc w:val="center"/>
              <w:rPr>
                <w:szCs w:val="21"/>
              </w:rPr>
            </w:pPr>
            <w:r>
              <w:rPr>
                <w:szCs w:val="21"/>
              </w:rPr>
              <w:t>车间半封闭+喷雾降尘等</w:t>
            </w:r>
          </w:p>
        </w:tc>
        <w:tc>
          <w:tcPr>
            <w:tcW w:w="3628" w:type="dxa"/>
            <w:vMerge w:val="continue"/>
            <w:vAlign w:val="center"/>
          </w:tcPr>
          <w:p>
            <w:pPr>
              <w:adjustRightInd w:val="0"/>
              <w:snapToGrid w:val="0"/>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2555" w:type="dxa"/>
            <w:vMerge w:val="continue"/>
            <w:vAlign w:val="center"/>
          </w:tcPr>
          <w:p>
            <w:pPr>
              <w:adjustRightInd w:val="0"/>
              <w:snapToGrid w:val="0"/>
              <w:jc w:val="center"/>
              <w:rPr>
                <w:szCs w:val="21"/>
              </w:rPr>
            </w:pPr>
          </w:p>
        </w:tc>
        <w:tc>
          <w:tcPr>
            <w:tcW w:w="2962" w:type="dxa"/>
            <w:vAlign w:val="center"/>
          </w:tcPr>
          <w:p>
            <w:pPr>
              <w:pStyle w:val="58"/>
              <w:widowControl w:val="0"/>
              <w:spacing w:before="0" w:beforeLines="0" w:line="240" w:lineRule="auto"/>
              <w:ind w:right="0"/>
            </w:pPr>
            <w:r>
              <w:t>道路扬尘</w:t>
            </w:r>
          </w:p>
        </w:tc>
        <w:tc>
          <w:tcPr>
            <w:tcW w:w="2336" w:type="dxa"/>
            <w:vAlign w:val="center"/>
          </w:tcPr>
          <w:p>
            <w:pPr>
              <w:pStyle w:val="58"/>
              <w:widowControl w:val="0"/>
              <w:spacing w:before="0" w:beforeLines="0" w:line="240" w:lineRule="auto"/>
              <w:ind w:right="0"/>
            </w:pPr>
            <w:r>
              <w:t>颗粒物</w:t>
            </w:r>
          </w:p>
        </w:tc>
        <w:tc>
          <w:tcPr>
            <w:tcW w:w="3287" w:type="dxa"/>
            <w:vAlign w:val="center"/>
          </w:tcPr>
          <w:p>
            <w:pPr>
              <w:adjustRightInd w:val="0"/>
              <w:snapToGrid w:val="0"/>
              <w:jc w:val="center"/>
              <w:rPr>
                <w:szCs w:val="21"/>
              </w:rPr>
            </w:pPr>
            <w:r>
              <w:rPr>
                <w:szCs w:val="21"/>
              </w:rPr>
              <w:t>喷雾降尘、道路清扫</w:t>
            </w:r>
          </w:p>
        </w:tc>
        <w:tc>
          <w:tcPr>
            <w:tcW w:w="3628" w:type="dxa"/>
            <w:vMerge w:val="continue"/>
            <w:vAlign w:val="center"/>
          </w:tcPr>
          <w:p>
            <w:pPr>
              <w:adjustRightInd w:val="0"/>
              <w:snapToGrid w:val="0"/>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55" w:type="dxa"/>
            <w:vMerge w:val="continue"/>
            <w:vAlign w:val="center"/>
          </w:tcPr>
          <w:p>
            <w:pPr>
              <w:adjustRightInd w:val="0"/>
              <w:snapToGrid w:val="0"/>
              <w:jc w:val="center"/>
              <w:rPr>
                <w:szCs w:val="21"/>
              </w:rPr>
            </w:pPr>
          </w:p>
        </w:tc>
        <w:tc>
          <w:tcPr>
            <w:tcW w:w="2962" w:type="dxa"/>
            <w:vAlign w:val="center"/>
          </w:tcPr>
          <w:p>
            <w:pPr>
              <w:adjustRightInd w:val="0"/>
              <w:snapToGrid w:val="0"/>
              <w:jc w:val="center"/>
              <w:rPr>
                <w:szCs w:val="21"/>
              </w:rPr>
            </w:pPr>
            <w:r>
              <w:rPr>
                <w:szCs w:val="21"/>
              </w:rPr>
              <w:t>食堂</w:t>
            </w:r>
          </w:p>
        </w:tc>
        <w:tc>
          <w:tcPr>
            <w:tcW w:w="2336" w:type="dxa"/>
            <w:vAlign w:val="center"/>
          </w:tcPr>
          <w:p>
            <w:pPr>
              <w:pStyle w:val="58"/>
              <w:widowControl w:val="0"/>
              <w:spacing w:before="0" w:beforeLines="0" w:line="240" w:lineRule="auto"/>
              <w:ind w:right="0"/>
            </w:pPr>
            <w:r>
              <w:t>食堂油烟</w:t>
            </w:r>
          </w:p>
        </w:tc>
        <w:tc>
          <w:tcPr>
            <w:tcW w:w="3287" w:type="dxa"/>
            <w:vAlign w:val="center"/>
          </w:tcPr>
          <w:p>
            <w:pPr>
              <w:adjustRightInd w:val="0"/>
              <w:snapToGrid w:val="0"/>
              <w:jc w:val="center"/>
              <w:rPr>
                <w:szCs w:val="21"/>
              </w:rPr>
            </w:pPr>
            <w:r>
              <w:rPr>
                <w:szCs w:val="21"/>
              </w:rPr>
              <w:t>油烟净化器+高空排放</w:t>
            </w:r>
          </w:p>
        </w:tc>
        <w:tc>
          <w:tcPr>
            <w:tcW w:w="3628" w:type="dxa"/>
            <w:vAlign w:val="center"/>
          </w:tcPr>
          <w:p>
            <w:pPr>
              <w:adjustRightInd w:val="0"/>
              <w:snapToGrid w:val="0"/>
              <w:jc w:val="center"/>
              <w:rPr>
                <w:szCs w:val="21"/>
              </w:rPr>
            </w:pPr>
            <w:r>
              <w:rPr>
                <w:szCs w:val="21"/>
              </w:rPr>
              <w:t>《饮食业油烟排放标准（试行）》（GB18483-2001）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55" w:type="dxa"/>
            <w:vAlign w:val="center"/>
          </w:tcPr>
          <w:p>
            <w:pPr>
              <w:adjustRightInd w:val="0"/>
              <w:snapToGrid w:val="0"/>
              <w:jc w:val="center"/>
              <w:rPr>
                <w:szCs w:val="21"/>
              </w:rPr>
            </w:pPr>
            <w:r>
              <w:rPr>
                <w:szCs w:val="21"/>
              </w:rPr>
              <w:t>地表水环境</w:t>
            </w:r>
          </w:p>
        </w:tc>
        <w:tc>
          <w:tcPr>
            <w:tcW w:w="2962" w:type="dxa"/>
            <w:vAlign w:val="center"/>
          </w:tcPr>
          <w:p>
            <w:pPr>
              <w:adjustRightInd w:val="0"/>
              <w:snapToGrid w:val="0"/>
              <w:jc w:val="center"/>
              <w:rPr>
                <w:szCs w:val="21"/>
              </w:rPr>
            </w:pPr>
            <w:r>
              <w:rPr>
                <w:szCs w:val="21"/>
              </w:rPr>
              <w:t>生活污水</w:t>
            </w:r>
          </w:p>
        </w:tc>
        <w:tc>
          <w:tcPr>
            <w:tcW w:w="2336" w:type="dxa"/>
            <w:vAlign w:val="center"/>
          </w:tcPr>
          <w:p>
            <w:pPr>
              <w:adjustRightInd w:val="0"/>
              <w:snapToGrid w:val="0"/>
              <w:jc w:val="center"/>
              <w:rPr>
                <w:szCs w:val="21"/>
              </w:rPr>
            </w:pPr>
            <w:r>
              <w:rPr>
                <w:color w:val="000000"/>
                <w:szCs w:val="21"/>
              </w:rPr>
              <w:t>pH、COD、BOD</w:t>
            </w:r>
            <w:r>
              <w:rPr>
                <w:color w:val="000000"/>
                <w:szCs w:val="21"/>
                <w:vertAlign w:val="subscript"/>
              </w:rPr>
              <w:t>5</w:t>
            </w:r>
            <w:r>
              <w:rPr>
                <w:color w:val="000000"/>
                <w:szCs w:val="21"/>
              </w:rPr>
              <w:t>、氨氮、动植物油等</w:t>
            </w:r>
          </w:p>
        </w:tc>
        <w:tc>
          <w:tcPr>
            <w:tcW w:w="3287" w:type="dxa"/>
            <w:vAlign w:val="center"/>
          </w:tcPr>
          <w:p>
            <w:pPr>
              <w:adjustRightInd w:val="0"/>
              <w:snapToGrid w:val="0"/>
              <w:jc w:val="center"/>
              <w:rPr>
                <w:szCs w:val="21"/>
              </w:rPr>
            </w:pPr>
            <w:r>
              <w:rPr>
                <w:szCs w:val="21"/>
              </w:rPr>
              <w:t>经隔油池+化粪池处理后清理做绿化及林地施肥</w:t>
            </w:r>
          </w:p>
        </w:tc>
        <w:tc>
          <w:tcPr>
            <w:tcW w:w="3628" w:type="dxa"/>
            <w:vAlign w:val="center"/>
          </w:tcPr>
          <w:p>
            <w:pPr>
              <w:adjustRightInd w:val="0"/>
              <w:snapToGrid w:val="0"/>
              <w:jc w:val="center"/>
              <w:rPr>
                <w:szCs w:val="21"/>
              </w:rPr>
            </w:pPr>
            <w:r>
              <w:rPr>
                <w:szCs w:val="21"/>
              </w:rPr>
              <w:t>不外排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55" w:type="dxa"/>
            <w:vAlign w:val="center"/>
          </w:tcPr>
          <w:p>
            <w:pPr>
              <w:adjustRightInd w:val="0"/>
              <w:snapToGrid w:val="0"/>
              <w:jc w:val="center"/>
              <w:rPr>
                <w:szCs w:val="21"/>
              </w:rPr>
            </w:pPr>
            <w:r>
              <w:rPr>
                <w:szCs w:val="21"/>
              </w:rPr>
              <w:t>声环境</w:t>
            </w:r>
          </w:p>
        </w:tc>
        <w:tc>
          <w:tcPr>
            <w:tcW w:w="2962" w:type="dxa"/>
            <w:vAlign w:val="center"/>
          </w:tcPr>
          <w:p>
            <w:pPr>
              <w:adjustRightInd w:val="0"/>
              <w:snapToGrid w:val="0"/>
              <w:jc w:val="center"/>
              <w:rPr>
                <w:szCs w:val="21"/>
              </w:rPr>
            </w:pPr>
            <w:r>
              <w:rPr>
                <w:szCs w:val="21"/>
              </w:rPr>
              <w:t>设备噪声</w:t>
            </w:r>
          </w:p>
        </w:tc>
        <w:tc>
          <w:tcPr>
            <w:tcW w:w="2336" w:type="dxa"/>
            <w:vAlign w:val="center"/>
          </w:tcPr>
          <w:p>
            <w:pPr>
              <w:adjustRightInd w:val="0"/>
              <w:snapToGrid w:val="0"/>
              <w:jc w:val="center"/>
              <w:rPr>
                <w:szCs w:val="21"/>
              </w:rPr>
            </w:pPr>
            <w:r>
              <w:rPr>
                <w:szCs w:val="21"/>
              </w:rPr>
              <w:t>Leq（A）</w:t>
            </w:r>
          </w:p>
        </w:tc>
        <w:tc>
          <w:tcPr>
            <w:tcW w:w="3287" w:type="dxa"/>
            <w:vAlign w:val="center"/>
          </w:tcPr>
          <w:p>
            <w:pPr>
              <w:adjustRightInd w:val="0"/>
              <w:snapToGrid w:val="0"/>
              <w:jc w:val="center"/>
              <w:rPr>
                <w:szCs w:val="21"/>
              </w:rPr>
            </w:pPr>
            <w:r>
              <w:rPr>
                <w:szCs w:val="21"/>
              </w:rPr>
              <w:t>对设备噪声进行隔、吸声和减振处理</w:t>
            </w:r>
          </w:p>
        </w:tc>
        <w:tc>
          <w:tcPr>
            <w:tcW w:w="3628" w:type="dxa"/>
            <w:vAlign w:val="center"/>
          </w:tcPr>
          <w:p>
            <w:pPr>
              <w:adjustRightInd w:val="0"/>
              <w:snapToGrid w:val="0"/>
              <w:jc w:val="center"/>
              <w:rPr>
                <w:szCs w:val="21"/>
              </w:rPr>
            </w:pPr>
            <w:r>
              <w:rPr>
                <w:szCs w:val="21"/>
              </w:rPr>
              <w:t>《工业企业厂界环境噪声排放标准》（GB12348-2008）2类标准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55" w:type="dxa"/>
            <w:vAlign w:val="center"/>
          </w:tcPr>
          <w:p>
            <w:pPr>
              <w:adjustRightInd w:val="0"/>
              <w:snapToGrid w:val="0"/>
              <w:jc w:val="center"/>
              <w:rPr>
                <w:szCs w:val="21"/>
              </w:rPr>
            </w:pPr>
            <w:r>
              <w:rPr>
                <w:szCs w:val="21"/>
              </w:rPr>
              <w:t>电磁辐射</w:t>
            </w:r>
          </w:p>
        </w:tc>
        <w:tc>
          <w:tcPr>
            <w:tcW w:w="2962" w:type="dxa"/>
            <w:vAlign w:val="center"/>
          </w:tcPr>
          <w:p>
            <w:pPr>
              <w:adjustRightInd w:val="0"/>
              <w:snapToGrid w:val="0"/>
              <w:jc w:val="center"/>
              <w:rPr>
                <w:szCs w:val="21"/>
              </w:rPr>
            </w:pPr>
            <w:r>
              <w:rPr>
                <w:szCs w:val="21"/>
              </w:rPr>
              <w:t>/</w:t>
            </w:r>
          </w:p>
        </w:tc>
        <w:tc>
          <w:tcPr>
            <w:tcW w:w="2336" w:type="dxa"/>
            <w:vAlign w:val="center"/>
          </w:tcPr>
          <w:p>
            <w:pPr>
              <w:adjustRightInd w:val="0"/>
              <w:snapToGrid w:val="0"/>
              <w:jc w:val="center"/>
              <w:rPr>
                <w:szCs w:val="21"/>
              </w:rPr>
            </w:pPr>
            <w:r>
              <w:rPr>
                <w:szCs w:val="21"/>
              </w:rPr>
              <w:t>/</w:t>
            </w:r>
          </w:p>
        </w:tc>
        <w:tc>
          <w:tcPr>
            <w:tcW w:w="3287" w:type="dxa"/>
            <w:vAlign w:val="center"/>
          </w:tcPr>
          <w:p>
            <w:pPr>
              <w:adjustRightInd w:val="0"/>
              <w:snapToGrid w:val="0"/>
              <w:jc w:val="center"/>
              <w:rPr>
                <w:szCs w:val="21"/>
              </w:rPr>
            </w:pPr>
            <w:r>
              <w:rPr>
                <w:szCs w:val="21"/>
              </w:rPr>
              <w:t>/</w:t>
            </w:r>
          </w:p>
        </w:tc>
        <w:tc>
          <w:tcPr>
            <w:tcW w:w="3628" w:type="dxa"/>
            <w:vAlign w:val="center"/>
          </w:tcPr>
          <w:p>
            <w:pPr>
              <w:adjustRightInd w:val="0"/>
              <w:snapToGrid w:val="0"/>
              <w:jc w:val="center"/>
              <w:rPr>
                <w:szCs w:val="21"/>
              </w:rPr>
            </w:pPr>
            <w:r>
              <w:rPr>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2555" w:type="dxa"/>
            <w:vAlign w:val="center"/>
          </w:tcPr>
          <w:p>
            <w:pPr>
              <w:adjustRightInd w:val="0"/>
              <w:snapToGrid w:val="0"/>
              <w:jc w:val="center"/>
              <w:rPr>
                <w:sz w:val="24"/>
              </w:rPr>
            </w:pPr>
            <w:r>
              <w:rPr>
                <w:sz w:val="24"/>
              </w:rPr>
              <w:t>固体废物</w:t>
            </w:r>
          </w:p>
        </w:tc>
        <w:tc>
          <w:tcPr>
            <w:tcW w:w="12213" w:type="dxa"/>
            <w:gridSpan w:val="4"/>
            <w:vAlign w:val="center"/>
          </w:tcPr>
          <w:p>
            <w:pPr>
              <w:spacing w:line="360" w:lineRule="auto"/>
              <w:ind w:firstLine="480" w:firstLineChars="200"/>
              <w:rPr>
                <w:kern w:val="0"/>
                <w:sz w:val="24"/>
              </w:rPr>
            </w:pPr>
            <w:r>
              <w:rPr>
                <w:kern w:val="0"/>
                <w:sz w:val="24"/>
              </w:rPr>
              <w:t>1、环境保护措施</w:t>
            </w:r>
          </w:p>
          <w:p>
            <w:pPr>
              <w:spacing w:line="360" w:lineRule="auto"/>
              <w:ind w:firstLine="480" w:firstLineChars="200"/>
              <w:rPr>
                <w:kern w:val="0"/>
                <w:sz w:val="24"/>
              </w:rPr>
            </w:pPr>
            <w:r>
              <w:rPr>
                <w:kern w:val="0"/>
                <w:sz w:val="24"/>
              </w:rPr>
              <w:t>沉淀池沉渣外售用于制砖或铺路等。</w:t>
            </w:r>
          </w:p>
          <w:p>
            <w:pPr>
              <w:spacing w:line="360" w:lineRule="auto"/>
              <w:ind w:firstLine="480" w:firstLineChars="200"/>
              <w:rPr>
                <w:kern w:val="0"/>
                <w:sz w:val="24"/>
              </w:rPr>
            </w:pPr>
            <w:r>
              <w:rPr>
                <w:kern w:val="0"/>
                <w:sz w:val="24"/>
              </w:rPr>
              <w:t>废机油等收集后放置于危废暂存间内，定期交有资质单位处置。危废每季度进行一次转运，并记录转运情况。</w:t>
            </w:r>
          </w:p>
          <w:p>
            <w:pPr>
              <w:spacing w:line="360" w:lineRule="auto"/>
              <w:ind w:firstLine="480" w:firstLineChars="200"/>
              <w:rPr>
                <w:kern w:val="0"/>
                <w:sz w:val="24"/>
              </w:rPr>
            </w:pPr>
            <w:r>
              <w:rPr>
                <w:kern w:val="0"/>
                <w:sz w:val="24"/>
              </w:rPr>
              <w:t>生活垃圾设置垃圾桶收集至垃圾房并及时委托环卫部门清运。</w:t>
            </w:r>
          </w:p>
          <w:p>
            <w:pPr>
              <w:spacing w:line="360" w:lineRule="auto"/>
              <w:ind w:firstLine="480" w:firstLineChars="200"/>
              <w:rPr>
                <w:kern w:val="0"/>
                <w:sz w:val="24"/>
              </w:rPr>
            </w:pPr>
            <w:r>
              <w:rPr>
                <w:kern w:val="0"/>
                <w:sz w:val="24"/>
              </w:rPr>
              <w:t>2、执行标准</w:t>
            </w:r>
          </w:p>
          <w:p>
            <w:pPr>
              <w:spacing w:line="360" w:lineRule="auto"/>
              <w:ind w:firstLine="480" w:firstLineChars="200"/>
              <w:rPr>
                <w:sz w:val="24"/>
              </w:rPr>
            </w:pPr>
            <w:r>
              <w:rPr>
                <w:kern w:val="0"/>
                <w:sz w:val="24"/>
              </w:rPr>
              <w:t>生活垃圾执行《生活垃圾填埋污染控制标准》(GB26889-2008)；一般固体废物执行《一般工业固体废物贮存和填埋污染控制标准》（GB18599-2020）；危险固体废物处置执行《危险废物贮存污染控制标准》（GB18597-2001）及2013修改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55" w:type="dxa"/>
            <w:vAlign w:val="center"/>
          </w:tcPr>
          <w:p>
            <w:pPr>
              <w:adjustRightInd w:val="0"/>
              <w:snapToGrid w:val="0"/>
              <w:jc w:val="center"/>
              <w:rPr>
                <w:sz w:val="24"/>
              </w:rPr>
            </w:pPr>
            <w:r>
              <w:rPr>
                <w:sz w:val="24"/>
              </w:rPr>
              <w:t>土壤及地下水污染防治措施</w:t>
            </w:r>
          </w:p>
        </w:tc>
        <w:tc>
          <w:tcPr>
            <w:tcW w:w="12213" w:type="dxa"/>
            <w:gridSpan w:val="4"/>
            <w:vAlign w:val="center"/>
          </w:tcPr>
          <w:p>
            <w:pPr>
              <w:spacing w:line="360" w:lineRule="auto"/>
              <w:ind w:firstLine="480" w:firstLineChars="200"/>
              <w:rPr>
                <w:sz w:val="24"/>
              </w:rPr>
            </w:pPr>
            <w:r>
              <w:rPr>
                <w:sz w:val="24"/>
              </w:rPr>
              <w:t>为确保本区域土壤、地下水不致受到本项目污染，针对上述污染源及污染途径，建议采取以下预防措施：</w:t>
            </w:r>
          </w:p>
          <w:p>
            <w:pPr>
              <w:spacing w:line="360" w:lineRule="auto"/>
              <w:ind w:firstLine="480" w:firstLineChars="200"/>
              <w:rPr>
                <w:sz w:val="24"/>
              </w:rPr>
            </w:pPr>
            <w:r>
              <w:rPr>
                <w:sz w:val="24"/>
              </w:rPr>
              <w:t>本项目产生的固体废物主要为生活垃圾、一般工业固废、危险废物。生活垃圾由环卫部门负责定期、及时收集和委托清运，避免随意丢弃和在装载、搬移或运输途中出现渗漏、溢出、抛洒造成的二次污染；一般工业固废在厂区内均设有专业收集设施，综合利用，不得露天堆放；生活垃圾、一般工业固废不得混存，且须做好防淋防渗措施；危险废物收集暂存后，交有危废资质单位处置。</w:t>
            </w:r>
          </w:p>
          <w:p>
            <w:pPr>
              <w:spacing w:line="360" w:lineRule="auto"/>
              <w:ind w:firstLine="480" w:firstLineChars="200"/>
              <w:rPr>
                <w:sz w:val="24"/>
              </w:rPr>
            </w:pPr>
            <w:r>
              <w:rPr>
                <w:sz w:val="24"/>
              </w:rPr>
              <w:t>污染区防渗措施：隔油池、化粪池、初期雨水收集池、危废</w:t>
            </w:r>
            <w:r>
              <w:rPr>
                <w:rFonts w:hint="eastAsia"/>
                <w:sz w:val="24"/>
              </w:rPr>
              <w:t>暂存</w:t>
            </w:r>
            <w:r>
              <w:rPr>
                <w:sz w:val="24"/>
              </w:rPr>
              <w:t>间等采用粘土铺底，再在上面铺10-15cm的水泥进行硬化</w:t>
            </w:r>
            <w:r>
              <w:rPr>
                <w:rFonts w:hint="eastAsia"/>
                <w:sz w:val="24"/>
              </w:rPr>
              <w:t>，最后地面及墙面刷环氧树脂漆</w:t>
            </w:r>
            <w:r>
              <w:rPr>
                <w:sz w:val="24"/>
              </w:rPr>
              <w:t>。通过上述措施可适当一般污染区各单元防渗层渗透系数≤10</w:t>
            </w:r>
            <w:r>
              <w:rPr>
                <w:sz w:val="24"/>
                <w:vertAlign w:val="superscript"/>
              </w:rPr>
              <w:t>-7</w:t>
            </w:r>
            <w:r>
              <w:rPr>
                <w:sz w:val="24"/>
              </w:rPr>
              <w:t>cm/s。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55" w:type="dxa"/>
            <w:vAlign w:val="center"/>
          </w:tcPr>
          <w:p>
            <w:pPr>
              <w:adjustRightInd w:val="0"/>
              <w:snapToGrid w:val="0"/>
              <w:jc w:val="center"/>
              <w:rPr>
                <w:sz w:val="24"/>
              </w:rPr>
            </w:pPr>
            <w:r>
              <w:rPr>
                <w:sz w:val="24"/>
              </w:rPr>
              <w:t>生态保护措施</w:t>
            </w:r>
          </w:p>
        </w:tc>
        <w:tc>
          <w:tcPr>
            <w:tcW w:w="12213" w:type="dxa"/>
            <w:gridSpan w:val="4"/>
            <w:vAlign w:val="center"/>
          </w:tcPr>
          <w:p>
            <w:pPr>
              <w:adjustRightInd w:val="0"/>
              <w:snapToGrid w:val="0"/>
              <w:spacing w:line="360" w:lineRule="auto"/>
              <w:ind w:firstLine="480" w:firstLineChars="200"/>
              <w:rPr>
                <w:sz w:val="24"/>
              </w:rPr>
            </w:pPr>
            <w:r>
              <w:rPr>
                <w:sz w:val="24"/>
              </w:rPr>
              <w:t>加强绿化。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55" w:type="dxa"/>
            <w:vAlign w:val="center"/>
          </w:tcPr>
          <w:p>
            <w:pPr>
              <w:adjustRightInd w:val="0"/>
              <w:snapToGrid w:val="0"/>
              <w:jc w:val="center"/>
              <w:rPr>
                <w:sz w:val="24"/>
              </w:rPr>
            </w:pPr>
            <w:r>
              <w:rPr>
                <w:sz w:val="24"/>
              </w:rPr>
              <w:t>环境风险</w:t>
            </w:r>
          </w:p>
          <w:p>
            <w:pPr>
              <w:adjustRightInd w:val="0"/>
              <w:snapToGrid w:val="0"/>
              <w:jc w:val="center"/>
              <w:rPr>
                <w:sz w:val="24"/>
              </w:rPr>
            </w:pPr>
            <w:r>
              <w:rPr>
                <w:sz w:val="24"/>
              </w:rPr>
              <w:t>防范措施</w:t>
            </w:r>
          </w:p>
        </w:tc>
        <w:tc>
          <w:tcPr>
            <w:tcW w:w="12213" w:type="dxa"/>
            <w:gridSpan w:val="4"/>
            <w:vAlign w:val="center"/>
          </w:tcPr>
          <w:p>
            <w:pPr>
              <w:pStyle w:val="75"/>
              <w:spacing w:beforeLines="0" w:afterLines="0" w:line="360" w:lineRule="auto"/>
              <w:ind w:firstLine="480" w:firstLineChars="200"/>
              <w:jc w:val="both"/>
              <w:rPr>
                <w:sz w:val="24"/>
                <w:szCs w:val="24"/>
              </w:rPr>
            </w:pPr>
            <w:r>
              <w:rPr>
                <w:sz w:val="24"/>
                <w:szCs w:val="24"/>
              </w:rPr>
              <w:t>（1）火灾防范措施</w:t>
            </w:r>
          </w:p>
          <w:p>
            <w:pPr>
              <w:pStyle w:val="75"/>
              <w:spacing w:beforeLines="0" w:afterLines="0" w:line="360" w:lineRule="auto"/>
              <w:ind w:firstLine="480" w:firstLineChars="200"/>
              <w:jc w:val="both"/>
              <w:rPr>
                <w:sz w:val="24"/>
                <w:szCs w:val="24"/>
              </w:rPr>
            </w:pPr>
            <w:r>
              <w:rPr>
                <w:sz w:val="24"/>
                <w:szCs w:val="24"/>
              </w:rPr>
              <w:t>定期对厂区内的用电线路进行检查，发现情况及时汇报处理。定期对工作人员进行消防知识的培训与演练，提高工作人员的防火意识。定期检查消防器材是否可以正常使用，对无法使用的器材及时更换和补充。</w:t>
            </w:r>
          </w:p>
          <w:p>
            <w:pPr>
              <w:pStyle w:val="75"/>
              <w:spacing w:beforeLines="0" w:afterLines="0" w:line="360" w:lineRule="auto"/>
              <w:ind w:firstLine="480" w:firstLineChars="200"/>
              <w:jc w:val="both"/>
              <w:rPr>
                <w:sz w:val="24"/>
                <w:szCs w:val="24"/>
              </w:rPr>
            </w:pPr>
            <w:r>
              <w:rPr>
                <w:sz w:val="24"/>
                <w:szCs w:val="24"/>
              </w:rPr>
              <w:t>（2）废气事故排放影响分析</w:t>
            </w:r>
          </w:p>
          <w:p>
            <w:pPr>
              <w:pStyle w:val="75"/>
              <w:spacing w:beforeLines="0" w:afterLines="0" w:line="360" w:lineRule="auto"/>
              <w:ind w:firstLine="480" w:firstLineChars="200"/>
              <w:jc w:val="both"/>
              <w:rPr>
                <w:sz w:val="24"/>
                <w:szCs w:val="24"/>
              </w:rPr>
            </w:pPr>
            <w:r>
              <w:rPr>
                <w:sz w:val="24"/>
                <w:szCs w:val="24"/>
              </w:rPr>
              <w:t>本项目废气事故排放主要为粉尘处理系统，一旦处理系统发生事故客流-污染物将未经处置直接排放，将对周边环境造成不利影响。</w:t>
            </w:r>
          </w:p>
          <w:p>
            <w:pPr>
              <w:pStyle w:val="75"/>
              <w:spacing w:beforeLines="0" w:afterLines="0" w:line="360" w:lineRule="auto"/>
              <w:ind w:firstLine="480" w:firstLineChars="200"/>
              <w:jc w:val="both"/>
              <w:rPr>
                <w:sz w:val="24"/>
                <w:szCs w:val="24"/>
              </w:rPr>
            </w:pPr>
            <w:r>
              <w:rPr>
                <w:sz w:val="24"/>
                <w:szCs w:val="24"/>
              </w:rPr>
              <w:t>因此，项目在运行过程中建设方应加强管理，尽可能避免发生废气治理设施的事故，降低事故工况对大气环境不利影响的风险。</w:t>
            </w:r>
          </w:p>
          <w:p>
            <w:pPr>
              <w:pStyle w:val="75"/>
              <w:spacing w:beforeLines="0" w:afterLines="0" w:line="360" w:lineRule="auto"/>
              <w:ind w:firstLine="480" w:firstLineChars="200"/>
              <w:jc w:val="both"/>
              <w:rPr>
                <w:sz w:val="24"/>
                <w:szCs w:val="24"/>
              </w:rPr>
            </w:pPr>
            <w:r>
              <w:rPr>
                <w:sz w:val="24"/>
                <w:szCs w:val="24"/>
              </w:rPr>
              <w:t>（3）危险废物、柴油泄露事故环境影响分析及处理措施</w:t>
            </w:r>
          </w:p>
          <w:p>
            <w:pPr>
              <w:spacing w:line="360" w:lineRule="auto"/>
              <w:ind w:firstLine="480" w:firstLineChars="200"/>
              <w:rPr>
                <w:sz w:val="24"/>
              </w:rPr>
            </w:pPr>
            <w:r>
              <w:rPr>
                <w:sz w:val="24"/>
              </w:rPr>
              <w:t>危险废物及柴油发生泄露后，有可能对地表水或土壤造成污染。环评要求：对发生泄露的危险废物重新包装、堆存于危废暂存间内，储存桶下方设置托盘；柴油储存装置柴油发电机周边设置围堰等。如危险废物暂存间、柴油发电机发生破坏，应及时对其进行修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55" w:type="dxa"/>
            <w:vAlign w:val="center"/>
          </w:tcPr>
          <w:p>
            <w:pPr>
              <w:adjustRightInd w:val="0"/>
              <w:snapToGrid w:val="0"/>
              <w:jc w:val="center"/>
              <w:rPr>
                <w:sz w:val="24"/>
              </w:rPr>
            </w:pPr>
            <w:r>
              <w:rPr>
                <w:sz w:val="24"/>
              </w:rPr>
              <w:t>其他环境</w:t>
            </w:r>
          </w:p>
          <w:p>
            <w:pPr>
              <w:adjustRightInd w:val="0"/>
              <w:snapToGrid w:val="0"/>
              <w:jc w:val="center"/>
              <w:rPr>
                <w:sz w:val="24"/>
              </w:rPr>
            </w:pPr>
            <w:r>
              <w:rPr>
                <w:sz w:val="24"/>
              </w:rPr>
              <w:t>管理要求</w:t>
            </w:r>
          </w:p>
        </w:tc>
        <w:tc>
          <w:tcPr>
            <w:tcW w:w="12213" w:type="dxa"/>
            <w:gridSpan w:val="4"/>
            <w:vAlign w:val="center"/>
          </w:tcPr>
          <w:p>
            <w:pPr>
              <w:spacing w:line="360" w:lineRule="auto"/>
              <w:ind w:firstLine="480" w:firstLineChars="200"/>
              <w:rPr>
                <w:sz w:val="24"/>
              </w:rPr>
            </w:pPr>
            <w:r>
              <w:rPr>
                <w:sz w:val="24"/>
              </w:rPr>
              <w:t>1、环境管理的基本任务</w:t>
            </w:r>
          </w:p>
          <w:p>
            <w:pPr>
              <w:spacing w:line="360" w:lineRule="auto"/>
              <w:ind w:firstLine="480" w:firstLineChars="200"/>
              <w:rPr>
                <w:sz w:val="24"/>
              </w:rPr>
            </w:pPr>
            <w:r>
              <w:rPr>
                <w:sz w:val="24"/>
              </w:rPr>
              <w:t>本项目环境管理的基本任务是：控制污染物排放量，避免污染物对环境质量的损害。为了控制污染物的排放，就需要加强计划、生产、技术、质量、设备、劳动、财务等方面的管理，把环境管理渗透到整个企业管理中，将环境管理溶合在一起，以减少从生产过程中各环节排出的污染物。</w:t>
            </w:r>
          </w:p>
          <w:p>
            <w:pPr>
              <w:spacing w:line="360" w:lineRule="auto"/>
              <w:ind w:firstLine="480" w:firstLineChars="200"/>
              <w:rPr>
                <w:sz w:val="24"/>
              </w:rPr>
            </w:pPr>
            <w:r>
              <w:rPr>
                <w:sz w:val="24"/>
              </w:rPr>
              <w:t>本项目应该将环境管理作为企业管理的重要组成部分，建立环境污染管理系统、制度、环境规划、协调发展生产保护环境的关系，使生产管理系统、制度、环境污染规划协调生产与保护环境的关系，使生产目标与环境目标统一起来，经济效益与环境效益统一起来。</w:t>
            </w:r>
          </w:p>
          <w:p>
            <w:pPr>
              <w:spacing w:line="360" w:lineRule="auto"/>
              <w:ind w:firstLine="480" w:firstLineChars="200"/>
              <w:rPr>
                <w:sz w:val="24"/>
              </w:rPr>
            </w:pPr>
            <w:r>
              <w:rPr>
                <w:sz w:val="24"/>
              </w:rPr>
              <w:t>2、环境管理机构设置</w:t>
            </w:r>
          </w:p>
          <w:p>
            <w:pPr>
              <w:spacing w:line="360" w:lineRule="auto"/>
              <w:ind w:firstLine="480" w:firstLineChars="200"/>
              <w:rPr>
                <w:sz w:val="24"/>
              </w:rPr>
            </w:pPr>
            <w:r>
              <w:rPr>
                <w:sz w:val="24"/>
              </w:rPr>
              <w:t>根据国家有关环境保护法规的要求和本项目生产的实际需要，建议该企业在设置组织机构时，考虑设置专门的环保管理机构：环保处（科），配备专职环保管理人员1~2名。环保管理人员应有熟悉企业排污状况、具备一定清洁生产知识、责任心强和组织协调能力强的人员担任，以利于监督管理，负责全场的环境保护管理工作，发现问题能及时解决并向上级环保主管部门报告，其主要职责如下：</w:t>
            </w:r>
          </w:p>
          <w:p>
            <w:pPr>
              <w:spacing w:line="360" w:lineRule="auto"/>
              <w:ind w:firstLine="480" w:firstLineChars="200"/>
              <w:rPr>
                <w:sz w:val="24"/>
              </w:rPr>
            </w:pPr>
            <w:r>
              <w:rPr>
                <w:rFonts w:hint="eastAsia" w:ascii="宋体" w:hAnsi="宋体" w:cs="宋体"/>
                <w:sz w:val="24"/>
              </w:rPr>
              <w:t>①</w:t>
            </w:r>
            <w:r>
              <w:rPr>
                <w:sz w:val="24"/>
              </w:rPr>
              <w:t>宣传、贯彻和执行环境保护政策、法律法规及环境保护标准。开展环境保护宣传、教育、培训等专业知识普及工作；</w:t>
            </w:r>
          </w:p>
          <w:p>
            <w:pPr>
              <w:spacing w:line="360" w:lineRule="auto"/>
              <w:ind w:firstLine="480" w:firstLineChars="200"/>
              <w:rPr>
                <w:sz w:val="24"/>
              </w:rPr>
            </w:pPr>
            <w:r>
              <w:rPr>
                <w:rFonts w:hint="eastAsia" w:ascii="宋体" w:hAnsi="宋体" w:cs="宋体"/>
                <w:sz w:val="24"/>
              </w:rPr>
              <w:t>②</w:t>
            </w:r>
            <w:r>
              <w:rPr>
                <w:sz w:val="24"/>
              </w:rPr>
              <w:t>编制并组织实施环境保护规划和计划，并监督执行，负责日常环境保护的管理工作；</w:t>
            </w:r>
          </w:p>
          <w:p>
            <w:pPr>
              <w:spacing w:line="360" w:lineRule="auto"/>
              <w:ind w:firstLine="480" w:firstLineChars="200"/>
              <w:rPr>
                <w:sz w:val="24"/>
              </w:rPr>
            </w:pPr>
            <w:r>
              <w:rPr>
                <w:rFonts w:hint="eastAsia" w:ascii="宋体" w:hAnsi="宋体" w:cs="宋体"/>
                <w:sz w:val="24"/>
              </w:rPr>
              <w:t>③</w:t>
            </w:r>
            <w:r>
              <w:rPr>
                <w:sz w:val="24"/>
              </w:rPr>
              <w:t>领导并组织企业的环境监测工作，建立监测台帐和档案，编写环保简报，做好环境统计，使企业领导、上级部门及时掌握污染治理动态；</w:t>
            </w:r>
          </w:p>
          <w:p>
            <w:pPr>
              <w:spacing w:line="360" w:lineRule="auto"/>
              <w:ind w:firstLine="480" w:firstLineChars="200"/>
              <w:rPr>
                <w:sz w:val="24"/>
              </w:rPr>
            </w:pPr>
            <w:r>
              <w:rPr>
                <w:rFonts w:hint="eastAsia" w:ascii="宋体" w:hAnsi="宋体" w:cs="宋体"/>
                <w:sz w:val="24"/>
              </w:rPr>
              <w:t>④</w:t>
            </w:r>
            <w:r>
              <w:rPr>
                <w:sz w:val="24"/>
              </w:rPr>
              <w:t>建立</w:t>
            </w:r>
            <w:r>
              <w:rPr>
                <w:rFonts w:hint="eastAsia"/>
                <w:sz w:val="24"/>
                <w:lang w:eastAsia="zh-CN"/>
              </w:rPr>
              <w:t>健全</w:t>
            </w:r>
            <w:bookmarkStart w:id="23" w:name="_GoBack"/>
            <w:bookmarkEnd w:id="23"/>
            <w:r>
              <w:rPr>
                <w:sz w:val="24"/>
              </w:rPr>
              <w:t>环境保护与劳动安全管理制度，监督工程施工期、运行期和服务期满后环保措施的有效实施；</w:t>
            </w:r>
          </w:p>
          <w:p>
            <w:pPr>
              <w:spacing w:line="360" w:lineRule="auto"/>
              <w:ind w:firstLine="480" w:firstLineChars="200"/>
              <w:rPr>
                <w:sz w:val="24"/>
              </w:rPr>
            </w:pPr>
            <w:r>
              <w:rPr>
                <w:rFonts w:hint="eastAsia" w:ascii="宋体" w:hAnsi="宋体" w:cs="宋体"/>
                <w:sz w:val="24"/>
              </w:rPr>
              <w:t>⑤</w:t>
            </w:r>
            <w:r>
              <w:rPr>
                <w:sz w:val="24"/>
              </w:rPr>
              <w:t>为保证工程环保设施的正常运转，减少或防范污染事故，制定污染治理设备设施操作规程的检查、维修计划，检查、记录污染治理设施运行及检修情况，并定期检查操作人员的操作技能，在实际工作中检验各项操作规范的可行性；</w:t>
            </w:r>
          </w:p>
          <w:p>
            <w:pPr>
              <w:spacing w:line="360" w:lineRule="auto"/>
              <w:ind w:firstLine="480" w:firstLineChars="200"/>
              <w:rPr>
                <w:sz w:val="24"/>
              </w:rPr>
            </w:pPr>
            <w:r>
              <w:rPr>
                <w:rFonts w:hint="eastAsia" w:ascii="宋体" w:hAnsi="宋体" w:cs="宋体"/>
                <w:sz w:val="24"/>
              </w:rPr>
              <w:t>⑥</w:t>
            </w:r>
            <w:r>
              <w:rPr>
                <w:sz w:val="24"/>
              </w:rPr>
              <w:t>检查各环境保护设施的运行情况、负责污染事故性排放的处理和调查。</w:t>
            </w:r>
          </w:p>
          <w:p>
            <w:pPr>
              <w:spacing w:line="360" w:lineRule="auto"/>
              <w:ind w:firstLine="480" w:firstLineChars="200"/>
              <w:rPr>
                <w:sz w:val="24"/>
              </w:rPr>
            </w:pPr>
            <w:r>
              <w:rPr>
                <w:sz w:val="24"/>
              </w:rPr>
              <w:t>3、营运期环境管理</w:t>
            </w:r>
          </w:p>
          <w:p>
            <w:pPr>
              <w:spacing w:line="360" w:lineRule="auto"/>
              <w:ind w:firstLine="480" w:firstLineChars="200"/>
              <w:rPr>
                <w:sz w:val="24"/>
                <w:lang w:val="zh-CN"/>
              </w:rPr>
            </w:pPr>
            <w:r>
              <w:rPr>
                <w:sz w:val="24"/>
                <w:lang w:val="zh-CN"/>
              </w:rPr>
              <w:t>项目必须贯彻执行国家有关方针、政策、法律和法规，必须配备专管环保的工作人员，特别注意对污水、废气和工业固废的监督管理，保证达标排放和符合环保要求。统一安排，积极贯彻“预防为主、防治结合”的方针，形成环境管理经常化、制度化；对运行中产生的问题需即时制定相应对策，加强与环境保护部门的联系与配合，结合环境监测的结果，及时掌握环境质量的变化状况，采取有效措施把污染控制在国家标准允许的范围内。一旦发生环保污染事故、人身健康危害，要速与当地环保、环卫、市政、公安等部门密切结合，及时消除影响，防治环境污染，保证人员的安全。环境污染要及时做出应急处理。以下几项具体工作应特别注意抓好。</w:t>
            </w:r>
          </w:p>
          <w:p>
            <w:pPr>
              <w:spacing w:line="360" w:lineRule="auto"/>
              <w:ind w:firstLine="480" w:firstLineChars="200"/>
              <w:rPr>
                <w:sz w:val="24"/>
                <w:lang w:val="zh-CN"/>
              </w:rPr>
            </w:pPr>
            <w:r>
              <w:rPr>
                <w:rFonts w:hint="eastAsia" w:ascii="宋体" w:hAnsi="宋体" w:cs="宋体"/>
                <w:sz w:val="24"/>
                <w:lang w:val="zh-CN"/>
              </w:rPr>
              <w:t>①</w:t>
            </w:r>
            <w:r>
              <w:rPr>
                <w:sz w:val="24"/>
                <w:lang w:val="zh-CN"/>
              </w:rPr>
              <w:t>根据国家环保政策、标准及环境监测要求，制定该项目运营期环保管理规章制度、各种污染物排放控制指标；</w:t>
            </w:r>
          </w:p>
          <w:p>
            <w:pPr>
              <w:spacing w:line="360" w:lineRule="auto"/>
              <w:ind w:firstLine="480" w:firstLineChars="200"/>
              <w:rPr>
                <w:sz w:val="24"/>
                <w:lang w:val="zh-CN"/>
              </w:rPr>
            </w:pPr>
            <w:r>
              <w:rPr>
                <w:rFonts w:hint="eastAsia" w:ascii="宋体" w:hAnsi="宋体" w:cs="宋体"/>
                <w:sz w:val="24"/>
                <w:lang w:val="zh-CN"/>
              </w:rPr>
              <w:t>②</w:t>
            </w:r>
            <w:r>
              <w:rPr>
                <w:sz w:val="24"/>
                <w:lang w:val="zh-CN"/>
              </w:rPr>
              <w:t>负责该项目内所有环保设施的日常运行管理，保障各环保设施的正常运行，并对环保设施的改进提出积极的建议；</w:t>
            </w:r>
          </w:p>
          <w:p>
            <w:pPr>
              <w:spacing w:line="360" w:lineRule="auto"/>
              <w:ind w:firstLine="480" w:firstLineChars="200"/>
              <w:rPr>
                <w:sz w:val="24"/>
                <w:lang w:val="zh-CN"/>
              </w:rPr>
            </w:pPr>
            <w:r>
              <w:rPr>
                <w:rFonts w:hint="eastAsia" w:ascii="宋体" w:hAnsi="宋体" w:cs="宋体"/>
                <w:sz w:val="24"/>
                <w:lang w:val="zh-CN"/>
              </w:rPr>
              <w:t>③</w:t>
            </w:r>
            <w:r>
              <w:rPr>
                <w:sz w:val="24"/>
                <w:lang w:val="zh-CN"/>
              </w:rPr>
              <w:t>负责该项目运营期环境监测工作，及时掌握该项目污染状况，整理监测数据，建立污染源档案；</w:t>
            </w:r>
          </w:p>
          <w:p>
            <w:pPr>
              <w:spacing w:line="360" w:lineRule="auto"/>
              <w:ind w:firstLine="480" w:firstLineChars="200"/>
              <w:rPr>
                <w:sz w:val="24"/>
                <w:lang w:val="zh-CN"/>
              </w:rPr>
            </w:pPr>
            <w:r>
              <w:rPr>
                <w:rFonts w:hint="eastAsia" w:ascii="宋体" w:hAnsi="宋体" w:cs="宋体"/>
                <w:sz w:val="24"/>
                <w:lang w:val="zh-CN"/>
              </w:rPr>
              <w:t>④</w:t>
            </w:r>
            <w:r>
              <w:rPr>
                <w:sz w:val="24"/>
                <w:lang w:val="zh-CN"/>
              </w:rPr>
              <w:t>负责对该</w:t>
            </w:r>
            <w:r>
              <w:rPr>
                <w:sz w:val="24"/>
              </w:rPr>
              <w:t>厂</w:t>
            </w:r>
            <w:r>
              <w:rPr>
                <w:sz w:val="24"/>
                <w:lang w:val="zh-CN"/>
              </w:rPr>
              <w:t>职工进行环保宣传教育工作，以及检查、监督各科室环保制度的执行情况。</w:t>
            </w:r>
          </w:p>
          <w:p>
            <w:pPr>
              <w:spacing w:line="360" w:lineRule="auto"/>
              <w:ind w:firstLine="480" w:firstLineChars="200"/>
              <w:rPr>
                <w:bCs/>
                <w:sz w:val="24"/>
              </w:rPr>
            </w:pPr>
            <w:r>
              <w:rPr>
                <w:bCs/>
                <w:sz w:val="24"/>
              </w:rPr>
              <w:t>4、排污口管理</w:t>
            </w:r>
          </w:p>
          <w:p>
            <w:pPr>
              <w:adjustRightInd w:val="0"/>
              <w:snapToGrid w:val="0"/>
              <w:spacing w:line="360" w:lineRule="auto"/>
              <w:ind w:firstLine="480" w:firstLineChars="200"/>
              <w:rPr>
                <w:bCs/>
                <w:sz w:val="24"/>
              </w:rPr>
            </w:pPr>
            <w:r>
              <w:rPr>
                <w:rFonts w:hint="eastAsia" w:ascii="宋体" w:hAnsi="宋体" w:cs="宋体"/>
                <w:bCs/>
                <w:sz w:val="24"/>
              </w:rPr>
              <w:t>⑴</w:t>
            </w:r>
            <w:r>
              <w:rPr>
                <w:bCs/>
                <w:sz w:val="24"/>
              </w:rPr>
              <w:t>、排污口规范化管理</w:t>
            </w:r>
          </w:p>
          <w:p>
            <w:pPr>
              <w:adjustRightInd w:val="0"/>
              <w:snapToGrid w:val="0"/>
              <w:spacing w:line="360" w:lineRule="auto"/>
              <w:ind w:firstLine="480" w:firstLineChars="200"/>
              <w:rPr>
                <w:bCs/>
                <w:sz w:val="24"/>
              </w:rPr>
            </w:pPr>
            <w:r>
              <w:rPr>
                <w:bCs/>
                <w:sz w:val="24"/>
              </w:rPr>
              <w:t>排污口是企业污染物进入环境、污染环境的通道，强化排污口的管理是实施污染物总量控制的基础工作，也是区域环境管理逐步实现污染物排放科学化、定量化的重要手段。本项目为新建工程，排污口应实行规范化设置与管理，具体管理原则如下：</w:t>
            </w:r>
          </w:p>
          <w:p>
            <w:pPr>
              <w:adjustRightInd w:val="0"/>
              <w:snapToGrid w:val="0"/>
              <w:spacing w:line="360" w:lineRule="auto"/>
              <w:ind w:firstLine="480" w:firstLineChars="200"/>
              <w:rPr>
                <w:bCs/>
                <w:sz w:val="24"/>
              </w:rPr>
            </w:pPr>
            <w:r>
              <w:rPr>
                <w:rFonts w:hint="eastAsia" w:ascii="宋体" w:hAnsi="宋体" w:cs="宋体"/>
                <w:bCs/>
                <w:sz w:val="24"/>
              </w:rPr>
              <w:t>①</w:t>
            </w:r>
            <w:r>
              <w:rPr>
                <w:bCs/>
                <w:sz w:val="24"/>
              </w:rPr>
              <w:t>、向环境排放污染物的排污口必须规范化；</w:t>
            </w:r>
          </w:p>
          <w:p>
            <w:pPr>
              <w:adjustRightInd w:val="0"/>
              <w:snapToGrid w:val="0"/>
              <w:spacing w:line="360" w:lineRule="auto"/>
              <w:ind w:firstLine="480" w:firstLineChars="200"/>
              <w:rPr>
                <w:bCs/>
                <w:sz w:val="24"/>
              </w:rPr>
            </w:pPr>
            <w:r>
              <w:rPr>
                <w:rFonts w:hint="eastAsia" w:ascii="宋体" w:hAnsi="宋体" w:cs="宋体"/>
                <w:bCs/>
                <w:sz w:val="24"/>
              </w:rPr>
              <w:t>②</w:t>
            </w:r>
            <w:r>
              <w:rPr>
                <w:bCs/>
                <w:sz w:val="24"/>
              </w:rPr>
              <w:t>、排污口便于采样与计量监测，便于日常监督检查，有观测、取样、维修通道；</w:t>
            </w:r>
          </w:p>
          <w:p>
            <w:pPr>
              <w:adjustRightInd w:val="0"/>
              <w:snapToGrid w:val="0"/>
              <w:spacing w:line="360" w:lineRule="auto"/>
              <w:ind w:firstLine="480" w:firstLineChars="200"/>
              <w:rPr>
                <w:bCs/>
                <w:sz w:val="24"/>
              </w:rPr>
            </w:pPr>
            <w:r>
              <w:rPr>
                <w:rFonts w:hint="eastAsia" w:ascii="宋体" w:hAnsi="宋体" w:cs="宋体"/>
                <w:bCs/>
                <w:sz w:val="24"/>
              </w:rPr>
              <w:t>③</w:t>
            </w:r>
            <w:r>
              <w:rPr>
                <w:bCs/>
                <w:sz w:val="24"/>
              </w:rPr>
              <w:t>、排气筒采样孔和采样平台设置应符合《污染源监测技术规划》；</w:t>
            </w:r>
          </w:p>
          <w:p>
            <w:pPr>
              <w:adjustRightInd w:val="0"/>
              <w:snapToGrid w:val="0"/>
              <w:spacing w:line="360" w:lineRule="auto"/>
              <w:ind w:firstLine="480" w:firstLineChars="200"/>
              <w:rPr>
                <w:bCs/>
                <w:sz w:val="24"/>
              </w:rPr>
            </w:pPr>
            <w:r>
              <w:rPr>
                <w:rFonts w:hint="eastAsia" w:ascii="宋体" w:hAnsi="宋体" w:cs="宋体"/>
                <w:bCs/>
                <w:sz w:val="24"/>
              </w:rPr>
              <w:t>④</w:t>
            </w:r>
            <w:r>
              <w:rPr>
                <w:bCs/>
                <w:sz w:val="24"/>
              </w:rPr>
              <w:t>、如实向环保管理部门申报排污口数量、位置及所排放的主要污染物种类、数量、浓度、排放去向等情况。</w:t>
            </w:r>
          </w:p>
          <w:p>
            <w:pPr>
              <w:adjustRightInd w:val="0"/>
              <w:snapToGrid w:val="0"/>
              <w:spacing w:line="360" w:lineRule="auto"/>
              <w:ind w:firstLine="480" w:firstLineChars="200"/>
              <w:rPr>
                <w:bCs/>
                <w:sz w:val="24"/>
              </w:rPr>
            </w:pPr>
            <w:r>
              <w:rPr>
                <w:rFonts w:hint="eastAsia" w:ascii="宋体" w:hAnsi="宋体" w:cs="宋体"/>
                <w:bCs/>
                <w:sz w:val="24"/>
              </w:rPr>
              <w:t>⑵</w:t>
            </w:r>
            <w:r>
              <w:rPr>
                <w:bCs/>
                <w:sz w:val="24"/>
              </w:rPr>
              <w:t>、排污口立标管理</w:t>
            </w:r>
          </w:p>
          <w:p>
            <w:pPr>
              <w:adjustRightInd w:val="0"/>
              <w:snapToGrid w:val="0"/>
              <w:spacing w:line="360" w:lineRule="auto"/>
              <w:ind w:firstLine="480" w:firstLineChars="200"/>
              <w:rPr>
                <w:bCs/>
                <w:sz w:val="24"/>
              </w:rPr>
            </w:pPr>
            <w:r>
              <w:rPr>
                <w:bCs/>
                <w:sz w:val="24"/>
              </w:rPr>
              <w:t>项目建设应根据国家《环境保护图形标志》（GB15562.1～2-95）的规定，针对各污染物排放口、固体废物堆场及噪声排放源分别设置国家环保局统一制作的环境保护图形标志牌，并应注意以下几点：</w:t>
            </w:r>
          </w:p>
          <w:p>
            <w:pPr>
              <w:adjustRightInd w:val="0"/>
              <w:snapToGrid w:val="0"/>
              <w:spacing w:line="360" w:lineRule="auto"/>
              <w:ind w:firstLine="480" w:firstLineChars="200"/>
              <w:rPr>
                <w:bCs/>
                <w:sz w:val="24"/>
              </w:rPr>
            </w:pPr>
            <w:r>
              <w:rPr>
                <w:rFonts w:hint="eastAsia" w:ascii="宋体" w:hAnsi="宋体" w:cs="宋体"/>
                <w:bCs/>
                <w:sz w:val="24"/>
              </w:rPr>
              <w:t>①</w:t>
            </w:r>
            <w:r>
              <w:rPr>
                <w:bCs/>
                <w:sz w:val="24"/>
              </w:rPr>
              <w:t>、排污口的环保图形标志牌应设置在靠近采样点的醒目处，标志牌设置高度为其上边缘距离地面约2m；</w:t>
            </w:r>
          </w:p>
          <w:p>
            <w:pPr>
              <w:adjustRightInd w:val="0"/>
              <w:snapToGrid w:val="0"/>
              <w:spacing w:line="360" w:lineRule="auto"/>
              <w:ind w:firstLine="480" w:firstLineChars="200"/>
              <w:rPr>
                <w:bCs/>
                <w:sz w:val="24"/>
              </w:rPr>
            </w:pPr>
            <w:r>
              <w:rPr>
                <w:rFonts w:hint="eastAsia" w:ascii="宋体" w:hAnsi="宋体" w:cs="宋体"/>
                <w:bCs/>
                <w:sz w:val="24"/>
              </w:rPr>
              <w:t>②</w:t>
            </w:r>
            <w:r>
              <w:rPr>
                <w:bCs/>
                <w:sz w:val="24"/>
              </w:rPr>
              <w:t>、排污口和固体废物堆置场以设置方形标志牌为主，亦可根据情况设置立面或平面固定式标志牌；</w:t>
            </w:r>
          </w:p>
          <w:p>
            <w:pPr>
              <w:adjustRightInd w:val="0"/>
              <w:snapToGrid w:val="0"/>
              <w:spacing w:line="360" w:lineRule="auto"/>
              <w:ind w:firstLine="480" w:firstLineChars="200"/>
              <w:rPr>
                <w:bCs/>
                <w:sz w:val="24"/>
              </w:rPr>
            </w:pPr>
            <w:r>
              <w:rPr>
                <w:rFonts w:hint="eastAsia" w:ascii="宋体" w:hAnsi="宋体" w:cs="宋体"/>
                <w:bCs/>
                <w:sz w:val="24"/>
              </w:rPr>
              <w:t>③</w:t>
            </w:r>
            <w:r>
              <w:rPr>
                <w:bCs/>
                <w:sz w:val="24"/>
              </w:rPr>
              <w:t>、废水排放口和固体废物堆场，应设置提示性环境保护图形标志牌。具体详见表5-1。</w:t>
            </w:r>
          </w:p>
          <w:p>
            <w:pPr>
              <w:pStyle w:val="71"/>
              <w:rPr>
                <w:rFonts w:cs="Times New Roman"/>
                <w:szCs w:val="21"/>
              </w:rPr>
            </w:pPr>
            <w:r>
              <w:rPr>
                <w:rFonts w:cs="Times New Roman"/>
                <w:szCs w:val="21"/>
              </w:rPr>
              <w:t>表5-1    污染物排放场所标示</w:t>
            </w:r>
          </w:p>
          <w:tbl>
            <w:tblPr>
              <w:tblStyle w:val="25"/>
              <w:tblW w:w="119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096"/>
              <w:gridCol w:w="2613"/>
              <w:gridCol w:w="3067"/>
              <w:gridCol w:w="2856"/>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0" w:hRule="atLeast"/>
                <w:jc w:val="center"/>
              </w:trPr>
              <w:tc>
                <w:tcPr>
                  <w:tcW w:w="1096" w:type="dxa"/>
                  <w:vAlign w:val="center"/>
                </w:tcPr>
                <w:p>
                  <w:pPr>
                    <w:pStyle w:val="75"/>
                    <w:spacing w:before="24" w:after="24"/>
                  </w:pPr>
                  <w:r>
                    <w:t>序号</w:t>
                  </w:r>
                </w:p>
              </w:tc>
              <w:tc>
                <w:tcPr>
                  <w:tcW w:w="2613" w:type="dxa"/>
                  <w:vAlign w:val="center"/>
                </w:tcPr>
                <w:p>
                  <w:pPr>
                    <w:pStyle w:val="75"/>
                    <w:spacing w:before="24" w:after="24"/>
                  </w:pPr>
                  <w:r>
                    <w:t>标志名称</w:t>
                  </w:r>
                </w:p>
              </w:tc>
              <w:tc>
                <w:tcPr>
                  <w:tcW w:w="3067" w:type="dxa"/>
                  <w:vAlign w:val="center"/>
                </w:tcPr>
                <w:p>
                  <w:pPr>
                    <w:pStyle w:val="75"/>
                    <w:spacing w:before="24" w:after="24"/>
                  </w:pPr>
                  <w:r>
                    <w:t>提示图形符号</w:t>
                  </w:r>
                </w:p>
              </w:tc>
              <w:tc>
                <w:tcPr>
                  <w:tcW w:w="2856" w:type="dxa"/>
                  <w:vAlign w:val="center"/>
                </w:tcPr>
                <w:p>
                  <w:pPr>
                    <w:pStyle w:val="75"/>
                    <w:spacing w:before="24" w:after="24"/>
                  </w:pPr>
                  <w:r>
                    <w:t>警告图形符号</w:t>
                  </w:r>
                </w:p>
              </w:tc>
              <w:tc>
                <w:tcPr>
                  <w:tcW w:w="2355" w:type="dxa"/>
                  <w:vAlign w:val="center"/>
                </w:tcPr>
                <w:p>
                  <w:pPr>
                    <w:pStyle w:val="75"/>
                    <w:spacing w:before="24" w:after="24"/>
                  </w:pPr>
                  <w:r>
                    <w:t>功能说明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0" w:hRule="atLeast"/>
                <w:jc w:val="center"/>
              </w:trPr>
              <w:tc>
                <w:tcPr>
                  <w:tcW w:w="1096" w:type="dxa"/>
                  <w:vAlign w:val="center"/>
                </w:tcPr>
                <w:p>
                  <w:pPr>
                    <w:pStyle w:val="75"/>
                    <w:spacing w:before="24" w:after="24"/>
                  </w:pPr>
                  <w:r>
                    <w:t>1</w:t>
                  </w:r>
                </w:p>
              </w:tc>
              <w:tc>
                <w:tcPr>
                  <w:tcW w:w="2613" w:type="dxa"/>
                  <w:vAlign w:val="center"/>
                </w:tcPr>
                <w:p>
                  <w:pPr>
                    <w:pStyle w:val="75"/>
                    <w:spacing w:before="24" w:after="24"/>
                  </w:pPr>
                  <w:r>
                    <w:t>噪声排放源</w:t>
                  </w:r>
                </w:p>
              </w:tc>
              <w:tc>
                <w:tcPr>
                  <w:tcW w:w="3067" w:type="dxa"/>
                  <w:vAlign w:val="center"/>
                </w:tcPr>
                <w:p>
                  <w:pPr>
                    <w:pStyle w:val="75"/>
                    <w:spacing w:before="24" w:after="24"/>
                  </w:pPr>
                  <w:r>
                    <w:drawing>
                      <wp:inline distT="0" distB="0" distL="0" distR="0">
                        <wp:extent cx="914400" cy="914400"/>
                        <wp:effectExtent l="0" t="0" r="0" b="0"/>
                        <wp:docPr id="8" name="图片 6" descr="噪声排放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descr="噪声排放源"/>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914400" cy="914400"/>
                                </a:xfrm>
                                <a:prstGeom prst="rect">
                                  <a:avLst/>
                                </a:prstGeom>
                                <a:noFill/>
                                <a:ln>
                                  <a:noFill/>
                                </a:ln>
                              </pic:spPr>
                            </pic:pic>
                          </a:graphicData>
                        </a:graphic>
                      </wp:inline>
                    </w:drawing>
                  </w:r>
                </w:p>
              </w:tc>
              <w:tc>
                <w:tcPr>
                  <w:tcW w:w="2856" w:type="dxa"/>
                  <w:vAlign w:val="center"/>
                </w:tcPr>
                <w:p>
                  <w:pPr>
                    <w:pStyle w:val="75"/>
                    <w:spacing w:before="24" w:after="24"/>
                  </w:pPr>
                  <w:r>
                    <w:drawing>
                      <wp:inline distT="0" distB="0" distL="0" distR="0">
                        <wp:extent cx="914400" cy="818515"/>
                        <wp:effectExtent l="0" t="0" r="0" b="0"/>
                        <wp:docPr id="9" name="图片 5" descr="噪声排放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descr="噪声排放源"/>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914400" cy="818515"/>
                                </a:xfrm>
                                <a:prstGeom prst="rect">
                                  <a:avLst/>
                                </a:prstGeom>
                                <a:noFill/>
                                <a:ln>
                                  <a:noFill/>
                                </a:ln>
                              </pic:spPr>
                            </pic:pic>
                          </a:graphicData>
                        </a:graphic>
                      </wp:inline>
                    </w:drawing>
                  </w:r>
                </w:p>
              </w:tc>
              <w:tc>
                <w:tcPr>
                  <w:tcW w:w="2355" w:type="dxa"/>
                  <w:vAlign w:val="center"/>
                </w:tcPr>
                <w:p>
                  <w:pPr>
                    <w:pStyle w:val="75"/>
                    <w:spacing w:before="24" w:after="24"/>
                  </w:pPr>
                  <w:r>
                    <w:t>表示噪声向外环境排放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0" w:hRule="atLeast"/>
                <w:jc w:val="center"/>
              </w:trPr>
              <w:tc>
                <w:tcPr>
                  <w:tcW w:w="1096" w:type="dxa"/>
                  <w:vAlign w:val="center"/>
                </w:tcPr>
                <w:p>
                  <w:pPr>
                    <w:pStyle w:val="75"/>
                    <w:spacing w:before="24" w:after="24"/>
                  </w:pPr>
                  <w:r>
                    <w:t>2</w:t>
                  </w:r>
                </w:p>
              </w:tc>
              <w:tc>
                <w:tcPr>
                  <w:tcW w:w="2613" w:type="dxa"/>
                  <w:vAlign w:val="center"/>
                </w:tcPr>
                <w:p>
                  <w:pPr>
                    <w:pStyle w:val="75"/>
                    <w:spacing w:before="24" w:after="24"/>
                  </w:pPr>
                  <w:r>
                    <w:t>一般固体废物</w:t>
                  </w:r>
                </w:p>
              </w:tc>
              <w:tc>
                <w:tcPr>
                  <w:tcW w:w="3067" w:type="dxa"/>
                  <w:vAlign w:val="center"/>
                </w:tcPr>
                <w:p>
                  <w:pPr>
                    <w:pStyle w:val="75"/>
                    <w:spacing w:before="24" w:after="24"/>
                  </w:pPr>
                  <w:r>
                    <w:drawing>
                      <wp:inline distT="0" distB="0" distL="0" distR="0">
                        <wp:extent cx="914400" cy="914400"/>
                        <wp:effectExtent l="0" t="0" r="0" b="0"/>
                        <wp:docPr id="10" name="图片 4" descr="一般固体废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一般固体废物"/>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914400" cy="914400"/>
                                </a:xfrm>
                                <a:prstGeom prst="rect">
                                  <a:avLst/>
                                </a:prstGeom>
                                <a:noFill/>
                                <a:ln>
                                  <a:noFill/>
                                </a:ln>
                              </pic:spPr>
                            </pic:pic>
                          </a:graphicData>
                        </a:graphic>
                      </wp:inline>
                    </w:drawing>
                  </w:r>
                </w:p>
              </w:tc>
              <w:tc>
                <w:tcPr>
                  <w:tcW w:w="2856" w:type="dxa"/>
                  <w:vAlign w:val="center"/>
                </w:tcPr>
                <w:p>
                  <w:pPr>
                    <w:pStyle w:val="75"/>
                    <w:spacing w:before="24" w:after="24"/>
                  </w:pPr>
                  <w:r>
                    <w:drawing>
                      <wp:inline distT="0" distB="0" distL="0" distR="0">
                        <wp:extent cx="914400" cy="818515"/>
                        <wp:effectExtent l="0" t="0" r="0" b="0"/>
                        <wp:docPr id="11" name="图片 3" descr="一般固体废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descr="一般固体废物"/>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914400" cy="818515"/>
                                </a:xfrm>
                                <a:prstGeom prst="rect">
                                  <a:avLst/>
                                </a:prstGeom>
                                <a:noFill/>
                                <a:ln>
                                  <a:noFill/>
                                </a:ln>
                              </pic:spPr>
                            </pic:pic>
                          </a:graphicData>
                        </a:graphic>
                      </wp:inline>
                    </w:drawing>
                  </w:r>
                </w:p>
              </w:tc>
              <w:tc>
                <w:tcPr>
                  <w:tcW w:w="2355" w:type="dxa"/>
                  <w:vAlign w:val="center"/>
                </w:tcPr>
                <w:p>
                  <w:pPr>
                    <w:pStyle w:val="75"/>
                    <w:spacing w:before="24" w:after="24"/>
                  </w:pPr>
                  <w:r>
                    <w:t>表示一般固体废物贮存、处置场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0" w:hRule="atLeast"/>
                <w:jc w:val="center"/>
              </w:trPr>
              <w:tc>
                <w:tcPr>
                  <w:tcW w:w="1096" w:type="dxa"/>
                  <w:vAlign w:val="center"/>
                </w:tcPr>
                <w:p>
                  <w:pPr>
                    <w:pStyle w:val="75"/>
                    <w:spacing w:before="24" w:after="24"/>
                  </w:pPr>
                  <w:r>
                    <w:t>3</w:t>
                  </w:r>
                </w:p>
              </w:tc>
              <w:tc>
                <w:tcPr>
                  <w:tcW w:w="2613" w:type="dxa"/>
                  <w:vAlign w:val="center"/>
                </w:tcPr>
                <w:p>
                  <w:pPr>
                    <w:pStyle w:val="75"/>
                    <w:spacing w:before="24" w:after="24"/>
                  </w:pPr>
                  <w:r>
                    <w:t>危险废物</w:t>
                  </w:r>
                </w:p>
              </w:tc>
              <w:tc>
                <w:tcPr>
                  <w:tcW w:w="3067" w:type="dxa"/>
                  <w:vAlign w:val="center"/>
                </w:tcPr>
                <w:p>
                  <w:pPr>
                    <w:pStyle w:val="75"/>
                    <w:spacing w:before="24" w:after="24"/>
                  </w:pPr>
                  <w:r>
                    <w:pict>
                      <v:shape id="_x0000_i1028" o:spt="75" type="#_x0000_t75" style="height:99.6pt;width:147.6pt;" filled="f" o:preferrelative="t" stroked="f" coordsize="21600,21600">
                        <v:path/>
                        <v:fill on="f" focussize="0,0"/>
                        <v:stroke on="f" joinstyle="miter"/>
                        <v:imagedata r:id="rId30" o:title=""/>
                        <o:lock v:ext="edit" aspectratio="t"/>
                        <w10:wrap type="none"/>
                        <w10:anchorlock/>
                      </v:shape>
                    </w:pict>
                  </w:r>
                </w:p>
              </w:tc>
              <w:tc>
                <w:tcPr>
                  <w:tcW w:w="2856" w:type="dxa"/>
                  <w:vAlign w:val="center"/>
                </w:tcPr>
                <w:p>
                  <w:pPr>
                    <w:pStyle w:val="75"/>
                    <w:spacing w:before="24" w:after="24"/>
                  </w:pPr>
                  <w:r>
                    <w:pict>
                      <v:shape id="_x0000_i1029" o:spt="75" type="#_x0000_t75" style="height:81pt;width:94.2pt;" filled="f" o:preferrelative="t" stroked="f" coordsize="21600,21600">
                        <v:path/>
                        <v:fill on="f" focussize="0,0"/>
                        <v:stroke on="f" joinstyle="miter"/>
                        <v:imagedata r:id="rId31" o:title=""/>
                        <o:lock v:ext="edit" aspectratio="t"/>
                        <w10:wrap type="none"/>
                        <w10:anchorlock/>
                      </v:shape>
                    </w:pict>
                  </w:r>
                </w:p>
              </w:tc>
              <w:tc>
                <w:tcPr>
                  <w:tcW w:w="2355" w:type="dxa"/>
                  <w:vAlign w:val="center"/>
                </w:tcPr>
                <w:p>
                  <w:pPr>
                    <w:pStyle w:val="75"/>
                    <w:spacing w:before="24" w:after="24"/>
                  </w:pPr>
                  <w:r>
                    <w:t>表示危险废物贮存、处置场</w:t>
                  </w:r>
                </w:p>
              </w:tc>
            </w:tr>
          </w:tbl>
          <w:p>
            <w:pPr>
              <w:adjustRightInd w:val="0"/>
              <w:snapToGrid w:val="0"/>
              <w:spacing w:line="360" w:lineRule="auto"/>
              <w:ind w:firstLine="480" w:firstLineChars="200"/>
              <w:rPr>
                <w:sz w:val="24"/>
              </w:rPr>
            </w:pPr>
            <w:r>
              <w:rPr>
                <w:rFonts w:hint="eastAsia" w:ascii="宋体" w:hAnsi="宋体" w:cs="宋体"/>
                <w:sz w:val="24"/>
              </w:rPr>
              <w:t>⑶</w:t>
            </w:r>
            <w:r>
              <w:rPr>
                <w:sz w:val="24"/>
              </w:rPr>
              <w:t>、排污口建档管理</w:t>
            </w:r>
          </w:p>
          <w:p>
            <w:pPr>
              <w:adjustRightInd w:val="0"/>
              <w:snapToGrid w:val="0"/>
              <w:spacing w:line="360" w:lineRule="auto"/>
              <w:ind w:firstLine="480" w:firstLineChars="200"/>
              <w:rPr>
                <w:sz w:val="24"/>
              </w:rPr>
            </w:pPr>
            <w:r>
              <w:rPr>
                <w:rFonts w:hint="eastAsia" w:ascii="宋体" w:hAnsi="宋体" w:cs="宋体"/>
                <w:sz w:val="24"/>
              </w:rPr>
              <w:t>①</w:t>
            </w:r>
            <w:r>
              <w:rPr>
                <w:sz w:val="24"/>
              </w:rPr>
              <w:t>、本项目应使用国家环保部统一印制的《中华人民共和国规范化排污口标志登记证》，并按要求填写有关内容；</w:t>
            </w:r>
          </w:p>
          <w:p>
            <w:pPr>
              <w:adjustRightInd w:val="0"/>
              <w:snapToGrid w:val="0"/>
              <w:spacing w:line="360" w:lineRule="auto"/>
              <w:ind w:firstLine="480" w:firstLineChars="200"/>
              <w:rPr>
                <w:sz w:val="24"/>
              </w:rPr>
            </w:pPr>
            <w:r>
              <w:rPr>
                <w:rFonts w:hint="eastAsia" w:ascii="宋体" w:hAnsi="宋体" w:cs="宋体"/>
                <w:sz w:val="24"/>
              </w:rPr>
              <w:t>②</w:t>
            </w:r>
            <w:r>
              <w:rPr>
                <w:sz w:val="24"/>
              </w:rPr>
              <w:t>、根据排污口管理内容要求，项目建成投产后，应将主要污染物种类、数量、浓度、排放去向、立标情况及设施运行情况记录于档案。</w:t>
            </w:r>
          </w:p>
          <w:p>
            <w:pPr>
              <w:spacing w:line="360" w:lineRule="auto"/>
              <w:ind w:firstLine="480" w:firstLineChars="200"/>
            </w:pPr>
            <w:r>
              <w:rPr>
                <w:bCs/>
                <w:sz w:val="24"/>
              </w:rPr>
              <w:t>5、环保投资</w:t>
            </w:r>
          </w:p>
          <w:p>
            <w:pPr>
              <w:pStyle w:val="80"/>
              <w:rPr>
                <w:b/>
                <w:bCs/>
              </w:rPr>
            </w:pPr>
            <w:r>
              <w:t>本项目总投资120万元，其中环保投资26.9万元，环保投资占投资总额的22.42%，环保投资估算见下表。</w:t>
            </w:r>
          </w:p>
          <w:p>
            <w:pPr>
              <w:pStyle w:val="71"/>
              <w:rPr>
                <w:rFonts w:cs="Times New Roman"/>
              </w:rPr>
            </w:pPr>
            <w:r>
              <w:rPr>
                <w:rFonts w:cs="Times New Roman"/>
              </w:rPr>
              <w:t>表5-2    项目环保投资设施及措施一览表</w:t>
            </w:r>
          </w:p>
          <w:tbl>
            <w:tblPr>
              <w:tblStyle w:val="25"/>
              <w:tblW w:w="119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574"/>
              <w:gridCol w:w="1673"/>
              <w:gridCol w:w="7481"/>
              <w:gridCol w:w="1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969" w:type="dxa"/>
                  <w:gridSpan w:val="3"/>
                  <w:tcBorders>
                    <w:top w:val="single" w:color="auto" w:sz="4" w:space="0"/>
                    <w:left w:val="single" w:color="auto" w:sz="4" w:space="0"/>
                    <w:bottom w:val="single" w:color="auto" w:sz="4" w:space="0"/>
                    <w:right w:val="single" w:color="auto" w:sz="4" w:space="0"/>
                  </w:tcBorders>
                  <w:vAlign w:val="center"/>
                </w:tcPr>
                <w:p>
                  <w:pPr>
                    <w:pStyle w:val="75"/>
                    <w:spacing w:before="24" w:after="24"/>
                  </w:pPr>
                  <w:r>
                    <w:t>项目</w:t>
                  </w:r>
                </w:p>
              </w:tc>
              <w:tc>
                <w:tcPr>
                  <w:tcW w:w="7481" w:type="dxa"/>
                  <w:tcBorders>
                    <w:top w:val="single" w:color="auto" w:sz="4" w:space="0"/>
                    <w:left w:val="single" w:color="auto" w:sz="4" w:space="0"/>
                    <w:bottom w:val="single" w:color="auto" w:sz="4" w:space="0"/>
                    <w:right w:val="single" w:color="auto" w:sz="4" w:space="0"/>
                  </w:tcBorders>
                  <w:vAlign w:val="center"/>
                </w:tcPr>
                <w:p>
                  <w:pPr>
                    <w:pStyle w:val="75"/>
                    <w:spacing w:before="24" w:after="24"/>
                  </w:pPr>
                  <w:r>
                    <w:t>环保措施及规模</w:t>
                  </w:r>
                </w:p>
              </w:tc>
              <w:tc>
                <w:tcPr>
                  <w:tcW w:w="1537" w:type="dxa"/>
                  <w:tcBorders>
                    <w:top w:val="single" w:color="auto" w:sz="4" w:space="0"/>
                    <w:left w:val="single" w:color="auto" w:sz="4" w:space="0"/>
                    <w:bottom w:val="single" w:color="auto" w:sz="4" w:space="0"/>
                    <w:right w:val="single" w:color="auto" w:sz="4" w:space="0"/>
                  </w:tcBorders>
                  <w:vAlign w:val="center"/>
                </w:tcPr>
                <w:p>
                  <w:pPr>
                    <w:pStyle w:val="75"/>
                    <w:spacing w:before="24" w:after="24"/>
                  </w:pPr>
                  <w:r>
                    <w:t>投资（万元）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969" w:type="dxa"/>
                  <w:gridSpan w:val="3"/>
                  <w:vMerge w:val="restart"/>
                  <w:tcBorders>
                    <w:top w:val="single" w:color="auto" w:sz="4" w:space="0"/>
                    <w:left w:val="single" w:color="auto" w:sz="4" w:space="0"/>
                    <w:bottom w:val="single" w:color="auto" w:sz="4" w:space="0"/>
                    <w:right w:val="single" w:color="auto" w:sz="4" w:space="0"/>
                  </w:tcBorders>
                  <w:vAlign w:val="center"/>
                </w:tcPr>
                <w:p>
                  <w:pPr>
                    <w:pStyle w:val="75"/>
                    <w:spacing w:before="24" w:after="24"/>
                  </w:pPr>
                  <w:r>
                    <w:t>施工期</w:t>
                  </w:r>
                </w:p>
              </w:tc>
              <w:tc>
                <w:tcPr>
                  <w:tcW w:w="7481" w:type="dxa"/>
                  <w:tcBorders>
                    <w:top w:val="single" w:color="auto" w:sz="4" w:space="0"/>
                    <w:left w:val="single" w:color="auto" w:sz="4" w:space="0"/>
                    <w:bottom w:val="single" w:color="auto" w:sz="4" w:space="0"/>
                    <w:right w:val="single" w:color="auto" w:sz="4" w:space="0"/>
                  </w:tcBorders>
                  <w:vAlign w:val="center"/>
                </w:tcPr>
                <w:p>
                  <w:pPr>
                    <w:pStyle w:val="75"/>
                    <w:spacing w:before="24" w:after="24"/>
                  </w:pPr>
                  <w:r>
                    <w:t>临时隔油沉淀池（5m</w:t>
                  </w:r>
                  <w:r>
                    <w:rPr>
                      <w:vertAlign w:val="superscript"/>
                    </w:rPr>
                    <w:t>3</w:t>
                  </w:r>
                  <w:r>
                    <w:t>）、旱厕（1m</w:t>
                  </w:r>
                  <w:r>
                    <w:rPr>
                      <w:vertAlign w:val="superscript"/>
                    </w:rPr>
                    <w:t>3</w:t>
                  </w:r>
                  <w:r>
                    <w:t>）</w:t>
                  </w:r>
                </w:p>
              </w:tc>
              <w:tc>
                <w:tcPr>
                  <w:tcW w:w="1537" w:type="dxa"/>
                  <w:tcBorders>
                    <w:top w:val="single" w:color="auto" w:sz="4" w:space="0"/>
                    <w:left w:val="single" w:color="auto" w:sz="4" w:space="0"/>
                    <w:bottom w:val="single" w:color="auto" w:sz="4" w:space="0"/>
                    <w:right w:val="single" w:color="auto" w:sz="4" w:space="0"/>
                  </w:tcBorders>
                  <w:vAlign w:val="center"/>
                </w:tcPr>
                <w:p>
                  <w:pPr>
                    <w:pStyle w:val="75"/>
                    <w:spacing w:before="24" w:after="24"/>
                  </w:pPr>
                  <w: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969" w:type="dxa"/>
                  <w:gridSpan w:val="3"/>
                  <w:vMerge w:val="continue"/>
                  <w:tcBorders>
                    <w:top w:val="single" w:color="auto" w:sz="4" w:space="0"/>
                    <w:left w:val="single" w:color="auto" w:sz="4" w:space="0"/>
                    <w:bottom w:val="single" w:color="auto" w:sz="4" w:space="0"/>
                    <w:right w:val="single" w:color="auto" w:sz="4" w:space="0"/>
                  </w:tcBorders>
                  <w:vAlign w:val="center"/>
                </w:tcPr>
                <w:p>
                  <w:pPr>
                    <w:pStyle w:val="75"/>
                    <w:spacing w:before="24" w:after="24"/>
                    <w:rPr>
                      <w:rFonts w:eastAsiaTheme="minorEastAsia"/>
                      <w:szCs w:val="24"/>
                    </w:rPr>
                  </w:pPr>
                </w:p>
              </w:tc>
              <w:tc>
                <w:tcPr>
                  <w:tcW w:w="7481" w:type="dxa"/>
                  <w:tcBorders>
                    <w:top w:val="single" w:color="auto" w:sz="4" w:space="0"/>
                    <w:left w:val="single" w:color="auto" w:sz="4" w:space="0"/>
                    <w:bottom w:val="single" w:color="auto" w:sz="4" w:space="0"/>
                    <w:right w:val="single" w:color="auto" w:sz="4" w:space="0"/>
                  </w:tcBorders>
                  <w:vAlign w:val="center"/>
                </w:tcPr>
                <w:p>
                  <w:pPr>
                    <w:pStyle w:val="75"/>
                    <w:spacing w:before="24" w:after="24"/>
                  </w:pPr>
                  <w:r>
                    <w:t>降尘设施、材料覆盖设施</w:t>
                  </w:r>
                </w:p>
              </w:tc>
              <w:tc>
                <w:tcPr>
                  <w:tcW w:w="1537" w:type="dxa"/>
                  <w:tcBorders>
                    <w:top w:val="single" w:color="auto" w:sz="4" w:space="0"/>
                    <w:left w:val="single" w:color="auto" w:sz="4" w:space="0"/>
                    <w:bottom w:val="single" w:color="auto" w:sz="4" w:space="0"/>
                    <w:right w:val="single" w:color="auto" w:sz="4" w:space="0"/>
                  </w:tcBorders>
                  <w:vAlign w:val="center"/>
                </w:tcPr>
                <w:p>
                  <w:pPr>
                    <w:pStyle w:val="75"/>
                    <w:spacing w:before="24" w:after="24"/>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969" w:type="dxa"/>
                  <w:gridSpan w:val="3"/>
                  <w:vMerge w:val="continue"/>
                  <w:tcBorders>
                    <w:top w:val="single" w:color="auto" w:sz="4" w:space="0"/>
                    <w:left w:val="single" w:color="auto" w:sz="4" w:space="0"/>
                    <w:bottom w:val="single" w:color="auto" w:sz="4" w:space="0"/>
                    <w:right w:val="single" w:color="auto" w:sz="4" w:space="0"/>
                  </w:tcBorders>
                  <w:vAlign w:val="center"/>
                </w:tcPr>
                <w:p>
                  <w:pPr>
                    <w:pStyle w:val="75"/>
                    <w:spacing w:before="24" w:after="24"/>
                    <w:rPr>
                      <w:rFonts w:eastAsiaTheme="minorEastAsia"/>
                      <w:szCs w:val="24"/>
                    </w:rPr>
                  </w:pPr>
                </w:p>
              </w:tc>
              <w:tc>
                <w:tcPr>
                  <w:tcW w:w="7481" w:type="dxa"/>
                  <w:tcBorders>
                    <w:top w:val="single" w:color="auto" w:sz="4" w:space="0"/>
                    <w:left w:val="single" w:color="auto" w:sz="4" w:space="0"/>
                    <w:bottom w:val="single" w:color="auto" w:sz="4" w:space="0"/>
                    <w:right w:val="single" w:color="auto" w:sz="4" w:space="0"/>
                  </w:tcBorders>
                  <w:vAlign w:val="center"/>
                </w:tcPr>
                <w:p>
                  <w:pPr>
                    <w:pStyle w:val="75"/>
                    <w:spacing w:before="24" w:after="24"/>
                  </w:pPr>
                  <w:r>
                    <w:t>生活垃圾；废土方、建筑垃圾清运处置</w:t>
                  </w:r>
                </w:p>
              </w:tc>
              <w:tc>
                <w:tcPr>
                  <w:tcW w:w="1537" w:type="dxa"/>
                  <w:tcBorders>
                    <w:top w:val="single" w:color="auto" w:sz="4" w:space="0"/>
                    <w:left w:val="single" w:color="auto" w:sz="4" w:space="0"/>
                    <w:bottom w:val="single" w:color="auto" w:sz="4" w:space="0"/>
                    <w:right w:val="single" w:color="auto" w:sz="4" w:space="0"/>
                  </w:tcBorders>
                  <w:vAlign w:val="center"/>
                </w:tcPr>
                <w:p>
                  <w:pPr>
                    <w:pStyle w:val="75"/>
                    <w:spacing w:before="24" w:after="24"/>
                  </w:pPr>
                  <w: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22" w:type="dxa"/>
                  <w:vMerge w:val="restart"/>
                  <w:tcBorders>
                    <w:top w:val="single" w:color="auto" w:sz="4" w:space="0"/>
                    <w:left w:val="single" w:color="auto" w:sz="4" w:space="0"/>
                    <w:right w:val="single" w:color="auto" w:sz="4" w:space="0"/>
                  </w:tcBorders>
                  <w:vAlign w:val="center"/>
                </w:tcPr>
                <w:p>
                  <w:pPr>
                    <w:pStyle w:val="75"/>
                    <w:spacing w:before="24" w:after="24"/>
                  </w:pPr>
                  <w:r>
                    <w:t>运营期</w:t>
                  </w:r>
                </w:p>
              </w:tc>
              <w:tc>
                <w:tcPr>
                  <w:tcW w:w="574" w:type="dxa"/>
                  <w:vMerge w:val="restart"/>
                  <w:tcBorders>
                    <w:top w:val="single" w:color="auto" w:sz="4" w:space="0"/>
                    <w:left w:val="single" w:color="auto" w:sz="4" w:space="0"/>
                    <w:bottom w:val="single" w:color="auto" w:sz="4" w:space="0"/>
                    <w:right w:val="single" w:color="auto" w:sz="4" w:space="0"/>
                  </w:tcBorders>
                  <w:vAlign w:val="center"/>
                </w:tcPr>
                <w:p>
                  <w:pPr>
                    <w:pStyle w:val="75"/>
                    <w:spacing w:before="24" w:after="24"/>
                  </w:pPr>
                  <w:r>
                    <w:t>废气</w:t>
                  </w:r>
                </w:p>
              </w:tc>
              <w:tc>
                <w:tcPr>
                  <w:tcW w:w="1673" w:type="dxa"/>
                  <w:tcBorders>
                    <w:top w:val="single" w:color="auto" w:sz="4" w:space="0"/>
                    <w:left w:val="single" w:color="auto" w:sz="4" w:space="0"/>
                    <w:bottom w:val="single" w:color="auto" w:sz="4" w:space="0"/>
                    <w:right w:val="single" w:color="auto" w:sz="4" w:space="0"/>
                  </w:tcBorders>
                  <w:vAlign w:val="center"/>
                </w:tcPr>
                <w:p>
                  <w:pPr>
                    <w:pStyle w:val="75"/>
                    <w:spacing w:before="24" w:after="24"/>
                  </w:pPr>
                  <w:r>
                    <w:t>加工粉尘</w:t>
                  </w:r>
                </w:p>
              </w:tc>
              <w:tc>
                <w:tcPr>
                  <w:tcW w:w="7481" w:type="dxa"/>
                  <w:tcBorders>
                    <w:top w:val="single" w:color="auto" w:sz="4" w:space="0"/>
                    <w:left w:val="single" w:color="auto" w:sz="4" w:space="0"/>
                    <w:bottom w:val="single" w:color="auto" w:sz="4" w:space="0"/>
                    <w:right w:val="single" w:color="auto" w:sz="4" w:space="0"/>
                  </w:tcBorders>
                  <w:vAlign w:val="center"/>
                </w:tcPr>
                <w:p>
                  <w:pPr>
                    <w:pStyle w:val="75"/>
                    <w:spacing w:before="24" w:after="24"/>
                  </w:pPr>
                  <w:r>
                    <w:t>车间密闭，在破碎、筛分等加工工序设置喷雾抑尘，采取湿式加工。</w:t>
                  </w:r>
                </w:p>
              </w:tc>
              <w:tc>
                <w:tcPr>
                  <w:tcW w:w="1537" w:type="dxa"/>
                  <w:tcBorders>
                    <w:top w:val="single" w:color="auto" w:sz="4" w:space="0"/>
                    <w:left w:val="single" w:color="auto" w:sz="4" w:space="0"/>
                    <w:bottom w:val="single" w:color="auto" w:sz="4" w:space="0"/>
                    <w:right w:val="single" w:color="auto" w:sz="4" w:space="0"/>
                  </w:tcBorders>
                  <w:vAlign w:val="center"/>
                </w:tcPr>
                <w:p>
                  <w:pPr>
                    <w:pStyle w:val="75"/>
                    <w:spacing w:before="24" w:after="24"/>
                  </w:pPr>
                  <w: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22" w:type="dxa"/>
                  <w:vMerge w:val="continue"/>
                  <w:tcBorders>
                    <w:left w:val="single" w:color="auto" w:sz="4" w:space="0"/>
                    <w:right w:val="single" w:color="auto" w:sz="4" w:space="0"/>
                  </w:tcBorders>
                  <w:vAlign w:val="center"/>
                </w:tcPr>
                <w:p>
                  <w:pPr>
                    <w:pStyle w:val="75"/>
                    <w:spacing w:before="24" w:after="24"/>
                    <w:rPr>
                      <w:rFonts w:eastAsiaTheme="minorEastAsia"/>
                      <w:szCs w:val="24"/>
                    </w:rPr>
                  </w:pPr>
                </w:p>
              </w:tc>
              <w:tc>
                <w:tcPr>
                  <w:tcW w:w="574" w:type="dxa"/>
                  <w:vMerge w:val="continue"/>
                  <w:tcBorders>
                    <w:top w:val="single" w:color="auto" w:sz="4" w:space="0"/>
                    <w:left w:val="single" w:color="auto" w:sz="4" w:space="0"/>
                    <w:bottom w:val="single" w:color="auto" w:sz="4" w:space="0"/>
                    <w:right w:val="single" w:color="auto" w:sz="4" w:space="0"/>
                  </w:tcBorders>
                  <w:vAlign w:val="center"/>
                </w:tcPr>
                <w:p>
                  <w:pPr>
                    <w:pStyle w:val="75"/>
                    <w:spacing w:before="24" w:after="24"/>
                    <w:rPr>
                      <w:rFonts w:eastAsiaTheme="minorEastAsia"/>
                      <w:szCs w:val="24"/>
                    </w:rPr>
                  </w:pPr>
                </w:p>
              </w:tc>
              <w:tc>
                <w:tcPr>
                  <w:tcW w:w="1673" w:type="dxa"/>
                  <w:tcBorders>
                    <w:top w:val="single" w:color="auto" w:sz="4" w:space="0"/>
                    <w:left w:val="single" w:color="auto" w:sz="4" w:space="0"/>
                    <w:bottom w:val="single" w:color="auto" w:sz="4" w:space="0"/>
                    <w:right w:val="single" w:color="auto" w:sz="4" w:space="0"/>
                  </w:tcBorders>
                  <w:vAlign w:val="center"/>
                </w:tcPr>
                <w:p>
                  <w:pPr>
                    <w:pStyle w:val="75"/>
                    <w:spacing w:before="24" w:after="24"/>
                  </w:pPr>
                  <w:r>
                    <w:t>堆场扬尘</w:t>
                  </w:r>
                </w:p>
              </w:tc>
              <w:tc>
                <w:tcPr>
                  <w:tcW w:w="7481" w:type="dxa"/>
                  <w:tcBorders>
                    <w:top w:val="single" w:color="auto" w:sz="4" w:space="0"/>
                    <w:left w:val="single" w:color="auto" w:sz="4" w:space="0"/>
                    <w:bottom w:val="single" w:color="auto" w:sz="4" w:space="0"/>
                    <w:right w:val="single" w:color="auto" w:sz="4" w:space="0"/>
                  </w:tcBorders>
                  <w:vAlign w:val="center"/>
                </w:tcPr>
                <w:p>
                  <w:pPr>
                    <w:pStyle w:val="75"/>
                    <w:spacing w:before="24" w:after="24"/>
                  </w:pPr>
                  <w:r>
                    <w:t>成品堆场、原料堆场采用彩钢棚密闭，顶部设置顶棚，喷雾抑尘</w:t>
                  </w:r>
                </w:p>
              </w:tc>
              <w:tc>
                <w:tcPr>
                  <w:tcW w:w="1537" w:type="dxa"/>
                  <w:tcBorders>
                    <w:top w:val="single" w:color="auto" w:sz="4" w:space="0"/>
                    <w:left w:val="single" w:color="auto" w:sz="4" w:space="0"/>
                    <w:bottom w:val="single" w:color="auto" w:sz="4" w:space="0"/>
                    <w:right w:val="single" w:color="auto" w:sz="4" w:space="0"/>
                  </w:tcBorders>
                  <w:vAlign w:val="center"/>
                </w:tcPr>
                <w:p>
                  <w:pPr>
                    <w:pStyle w:val="75"/>
                    <w:spacing w:before="24" w:after="24"/>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22" w:type="dxa"/>
                  <w:vMerge w:val="continue"/>
                  <w:tcBorders>
                    <w:left w:val="single" w:color="auto" w:sz="4" w:space="0"/>
                    <w:right w:val="single" w:color="auto" w:sz="4" w:space="0"/>
                  </w:tcBorders>
                  <w:vAlign w:val="center"/>
                </w:tcPr>
                <w:p>
                  <w:pPr>
                    <w:pStyle w:val="75"/>
                    <w:spacing w:before="24" w:after="24"/>
                    <w:rPr>
                      <w:rFonts w:eastAsiaTheme="minorEastAsia"/>
                      <w:szCs w:val="24"/>
                    </w:rPr>
                  </w:pPr>
                </w:p>
              </w:tc>
              <w:tc>
                <w:tcPr>
                  <w:tcW w:w="574" w:type="dxa"/>
                  <w:vMerge w:val="continue"/>
                  <w:tcBorders>
                    <w:top w:val="single" w:color="auto" w:sz="4" w:space="0"/>
                    <w:left w:val="single" w:color="auto" w:sz="4" w:space="0"/>
                    <w:bottom w:val="single" w:color="auto" w:sz="4" w:space="0"/>
                    <w:right w:val="single" w:color="auto" w:sz="4" w:space="0"/>
                  </w:tcBorders>
                  <w:vAlign w:val="center"/>
                </w:tcPr>
                <w:p>
                  <w:pPr>
                    <w:pStyle w:val="75"/>
                    <w:spacing w:before="24" w:after="24"/>
                    <w:rPr>
                      <w:rFonts w:eastAsiaTheme="minorEastAsia"/>
                      <w:szCs w:val="24"/>
                    </w:rPr>
                  </w:pPr>
                </w:p>
              </w:tc>
              <w:tc>
                <w:tcPr>
                  <w:tcW w:w="1673" w:type="dxa"/>
                  <w:tcBorders>
                    <w:top w:val="single" w:color="auto" w:sz="4" w:space="0"/>
                    <w:left w:val="single" w:color="auto" w:sz="4" w:space="0"/>
                    <w:bottom w:val="single" w:color="auto" w:sz="4" w:space="0"/>
                    <w:right w:val="single" w:color="auto" w:sz="4" w:space="0"/>
                  </w:tcBorders>
                  <w:vAlign w:val="center"/>
                </w:tcPr>
                <w:p>
                  <w:pPr>
                    <w:pStyle w:val="75"/>
                    <w:spacing w:before="24" w:after="24"/>
                  </w:pPr>
                  <w:r>
                    <w:t>道路扬尘</w:t>
                  </w:r>
                </w:p>
              </w:tc>
              <w:tc>
                <w:tcPr>
                  <w:tcW w:w="7481" w:type="dxa"/>
                  <w:tcBorders>
                    <w:top w:val="single" w:color="auto" w:sz="4" w:space="0"/>
                    <w:left w:val="single" w:color="auto" w:sz="4" w:space="0"/>
                    <w:bottom w:val="single" w:color="auto" w:sz="4" w:space="0"/>
                    <w:right w:val="single" w:color="auto" w:sz="4" w:space="0"/>
                  </w:tcBorders>
                  <w:vAlign w:val="center"/>
                </w:tcPr>
                <w:p>
                  <w:pPr>
                    <w:pStyle w:val="75"/>
                    <w:spacing w:before="24" w:after="24"/>
                  </w:pPr>
                  <w:r>
                    <w:t>场区道路硬化，喷雾降尘</w:t>
                  </w:r>
                </w:p>
              </w:tc>
              <w:tc>
                <w:tcPr>
                  <w:tcW w:w="1537" w:type="dxa"/>
                  <w:tcBorders>
                    <w:top w:val="single" w:color="auto" w:sz="4" w:space="0"/>
                    <w:left w:val="single" w:color="auto" w:sz="4" w:space="0"/>
                    <w:bottom w:val="single" w:color="auto" w:sz="4" w:space="0"/>
                    <w:right w:val="single" w:color="auto" w:sz="4" w:space="0"/>
                  </w:tcBorders>
                  <w:vAlign w:val="center"/>
                </w:tcPr>
                <w:p>
                  <w:pPr>
                    <w:pStyle w:val="75"/>
                    <w:spacing w:before="24" w:after="24"/>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22" w:type="dxa"/>
                  <w:vMerge w:val="continue"/>
                  <w:tcBorders>
                    <w:left w:val="single" w:color="auto" w:sz="4" w:space="0"/>
                    <w:right w:val="single" w:color="auto" w:sz="4" w:space="0"/>
                  </w:tcBorders>
                  <w:vAlign w:val="center"/>
                </w:tcPr>
                <w:p>
                  <w:pPr>
                    <w:pStyle w:val="75"/>
                    <w:spacing w:before="24" w:after="24"/>
                    <w:rPr>
                      <w:rFonts w:eastAsiaTheme="minorEastAsia"/>
                      <w:szCs w:val="24"/>
                    </w:rPr>
                  </w:pPr>
                </w:p>
              </w:tc>
              <w:tc>
                <w:tcPr>
                  <w:tcW w:w="574" w:type="dxa"/>
                  <w:vMerge w:val="continue"/>
                  <w:tcBorders>
                    <w:top w:val="single" w:color="auto" w:sz="4" w:space="0"/>
                    <w:left w:val="single" w:color="auto" w:sz="4" w:space="0"/>
                    <w:bottom w:val="single" w:color="auto" w:sz="4" w:space="0"/>
                    <w:right w:val="single" w:color="auto" w:sz="4" w:space="0"/>
                  </w:tcBorders>
                  <w:vAlign w:val="center"/>
                </w:tcPr>
                <w:p>
                  <w:pPr>
                    <w:pStyle w:val="75"/>
                    <w:spacing w:before="24" w:after="24"/>
                    <w:rPr>
                      <w:rFonts w:eastAsiaTheme="minorEastAsia"/>
                      <w:szCs w:val="24"/>
                    </w:rPr>
                  </w:pPr>
                </w:p>
              </w:tc>
              <w:tc>
                <w:tcPr>
                  <w:tcW w:w="1673" w:type="dxa"/>
                  <w:tcBorders>
                    <w:top w:val="single" w:color="auto" w:sz="4" w:space="0"/>
                    <w:left w:val="single" w:color="auto" w:sz="4" w:space="0"/>
                    <w:bottom w:val="single" w:color="auto" w:sz="4" w:space="0"/>
                    <w:right w:val="single" w:color="auto" w:sz="4" w:space="0"/>
                  </w:tcBorders>
                  <w:vAlign w:val="center"/>
                </w:tcPr>
                <w:p>
                  <w:pPr>
                    <w:pStyle w:val="75"/>
                    <w:spacing w:before="24" w:after="24"/>
                  </w:pPr>
                  <w:r>
                    <w:t>食堂油烟</w:t>
                  </w:r>
                </w:p>
              </w:tc>
              <w:tc>
                <w:tcPr>
                  <w:tcW w:w="7481" w:type="dxa"/>
                  <w:tcBorders>
                    <w:top w:val="single" w:color="auto" w:sz="4" w:space="0"/>
                    <w:left w:val="single" w:color="auto" w:sz="4" w:space="0"/>
                    <w:bottom w:val="single" w:color="auto" w:sz="4" w:space="0"/>
                    <w:right w:val="single" w:color="auto" w:sz="4" w:space="0"/>
                  </w:tcBorders>
                  <w:vAlign w:val="center"/>
                </w:tcPr>
                <w:p>
                  <w:pPr>
                    <w:pStyle w:val="75"/>
                    <w:spacing w:before="24" w:after="24"/>
                  </w:pPr>
                  <w:r>
                    <w:t>1台抽油烟机</w:t>
                  </w:r>
                </w:p>
              </w:tc>
              <w:tc>
                <w:tcPr>
                  <w:tcW w:w="1537" w:type="dxa"/>
                  <w:tcBorders>
                    <w:top w:val="single" w:color="auto" w:sz="4" w:space="0"/>
                    <w:left w:val="single" w:color="auto" w:sz="4" w:space="0"/>
                    <w:bottom w:val="single" w:color="auto" w:sz="4" w:space="0"/>
                    <w:right w:val="single" w:color="auto" w:sz="4" w:space="0"/>
                  </w:tcBorders>
                  <w:vAlign w:val="center"/>
                </w:tcPr>
                <w:p>
                  <w:pPr>
                    <w:pStyle w:val="75"/>
                    <w:spacing w:before="24" w:after="24"/>
                  </w:pPr>
                  <w: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22" w:type="dxa"/>
                  <w:vMerge w:val="continue"/>
                  <w:tcBorders>
                    <w:left w:val="single" w:color="auto" w:sz="4" w:space="0"/>
                    <w:right w:val="single" w:color="auto" w:sz="4" w:space="0"/>
                  </w:tcBorders>
                  <w:vAlign w:val="center"/>
                </w:tcPr>
                <w:p>
                  <w:pPr>
                    <w:pStyle w:val="75"/>
                    <w:spacing w:before="24" w:after="24"/>
                    <w:rPr>
                      <w:rFonts w:eastAsiaTheme="minorEastAsia"/>
                      <w:szCs w:val="24"/>
                    </w:rPr>
                  </w:pPr>
                </w:p>
              </w:tc>
              <w:tc>
                <w:tcPr>
                  <w:tcW w:w="574" w:type="dxa"/>
                  <w:vMerge w:val="restart"/>
                  <w:tcBorders>
                    <w:top w:val="single" w:color="auto" w:sz="4" w:space="0"/>
                    <w:left w:val="single" w:color="auto" w:sz="4" w:space="0"/>
                    <w:bottom w:val="single" w:color="auto" w:sz="4" w:space="0"/>
                    <w:right w:val="single" w:color="auto" w:sz="4" w:space="0"/>
                  </w:tcBorders>
                  <w:vAlign w:val="center"/>
                </w:tcPr>
                <w:p>
                  <w:pPr>
                    <w:pStyle w:val="75"/>
                    <w:spacing w:before="24" w:after="24"/>
                  </w:pPr>
                  <w:r>
                    <w:t>废水</w:t>
                  </w:r>
                </w:p>
              </w:tc>
              <w:tc>
                <w:tcPr>
                  <w:tcW w:w="1673" w:type="dxa"/>
                  <w:tcBorders>
                    <w:top w:val="single" w:color="auto" w:sz="4" w:space="0"/>
                    <w:left w:val="single" w:color="auto" w:sz="4" w:space="0"/>
                    <w:bottom w:val="single" w:color="auto" w:sz="4" w:space="0"/>
                    <w:right w:val="single" w:color="auto" w:sz="4" w:space="0"/>
                  </w:tcBorders>
                  <w:vAlign w:val="center"/>
                </w:tcPr>
                <w:p>
                  <w:pPr>
                    <w:pStyle w:val="75"/>
                    <w:spacing w:before="24" w:after="24"/>
                  </w:pPr>
                  <w:r>
                    <w:t>生活废水</w:t>
                  </w:r>
                </w:p>
              </w:tc>
              <w:tc>
                <w:tcPr>
                  <w:tcW w:w="7481" w:type="dxa"/>
                  <w:tcBorders>
                    <w:top w:val="single" w:color="auto" w:sz="4" w:space="0"/>
                    <w:left w:val="single" w:color="auto" w:sz="4" w:space="0"/>
                    <w:bottom w:val="single" w:color="auto" w:sz="4" w:space="0"/>
                    <w:right w:val="single" w:color="auto" w:sz="4" w:space="0"/>
                  </w:tcBorders>
                  <w:vAlign w:val="center"/>
                </w:tcPr>
                <w:p>
                  <w:pPr>
                    <w:pStyle w:val="75"/>
                    <w:spacing w:before="24" w:after="24"/>
                  </w:pPr>
                  <w:r>
                    <w:t>15m</w:t>
                  </w:r>
                  <w:r>
                    <w:rPr>
                      <w:vertAlign w:val="superscript"/>
                    </w:rPr>
                    <w:t>3</w:t>
                  </w:r>
                  <w:r>
                    <w:t>，化粪池</w:t>
                  </w:r>
                </w:p>
              </w:tc>
              <w:tc>
                <w:tcPr>
                  <w:tcW w:w="1537" w:type="dxa"/>
                  <w:tcBorders>
                    <w:top w:val="single" w:color="auto" w:sz="4" w:space="0"/>
                    <w:left w:val="single" w:color="auto" w:sz="4" w:space="0"/>
                    <w:bottom w:val="single" w:color="auto" w:sz="4" w:space="0"/>
                    <w:right w:val="single" w:color="auto" w:sz="4" w:space="0"/>
                  </w:tcBorders>
                  <w:vAlign w:val="center"/>
                </w:tcPr>
                <w:p>
                  <w:pPr>
                    <w:pStyle w:val="75"/>
                    <w:spacing w:before="24" w:after="24"/>
                  </w:pP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22" w:type="dxa"/>
                  <w:vMerge w:val="continue"/>
                  <w:tcBorders>
                    <w:left w:val="single" w:color="auto" w:sz="4" w:space="0"/>
                    <w:right w:val="single" w:color="auto" w:sz="4" w:space="0"/>
                  </w:tcBorders>
                  <w:vAlign w:val="center"/>
                </w:tcPr>
                <w:p>
                  <w:pPr>
                    <w:pStyle w:val="75"/>
                    <w:spacing w:before="24" w:after="24"/>
                    <w:rPr>
                      <w:rFonts w:eastAsiaTheme="minorEastAsia"/>
                      <w:szCs w:val="24"/>
                    </w:rPr>
                  </w:pPr>
                </w:p>
              </w:tc>
              <w:tc>
                <w:tcPr>
                  <w:tcW w:w="574" w:type="dxa"/>
                  <w:vMerge w:val="continue"/>
                  <w:tcBorders>
                    <w:top w:val="single" w:color="auto" w:sz="4" w:space="0"/>
                    <w:left w:val="single" w:color="auto" w:sz="4" w:space="0"/>
                    <w:bottom w:val="single" w:color="auto" w:sz="4" w:space="0"/>
                    <w:right w:val="single" w:color="auto" w:sz="4" w:space="0"/>
                  </w:tcBorders>
                  <w:vAlign w:val="center"/>
                </w:tcPr>
                <w:p>
                  <w:pPr>
                    <w:pStyle w:val="75"/>
                    <w:spacing w:before="24" w:after="24"/>
                    <w:rPr>
                      <w:rFonts w:eastAsiaTheme="minorEastAsia"/>
                      <w:szCs w:val="24"/>
                    </w:rPr>
                  </w:pPr>
                </w:p>
              </w:tc>
              <w:tc>
                <w:tcPr>
                  <w:tcW w:w="1673" w:type="dxa"/>
                  <w:tcBorders>
                    <w:top w:val="single" w:color="auto" w:sz="4" w:space="0"/>
                    <w:left w:val="single" w:color="auto" w:sz="4" w:space="0"/>
                    <w:bottom w:val="single" w:color="auto" w:sz="4" w:space="0"/>
                    <w:right w:val="single" w:color="auto" w:sz="4" w:space="0"/>
                  </w:tcBorders>
                  <w:vAlign w:val="center"/>
                </w:tcPr>
                <w:p>
                  <w:pPr>
                    <w:pStyle w:val="75"/>
                    <w:spacing w:before="24" w:after="24"/>
                  </w:pPr>
                  <w:r>
                    <w:t>初期雨水</w:t>
                  </w:r>
                </w:p>
              </w:tc>
              <w:tc>
                <w:tcPr>
                  <w:tcW w:w="7481" w:type="dxa"/>
                  <w:tcBorders>
                    <w:top w:val="single" w:color="auto" w:sz="4" w:space="0"/>
                    <w:left w:val="single" w:color="auto" w:sz="4" w:space="0"/>
                    <w:bottom w:val="single" w:color="auto" w:sz="4" w:space="0"/>
                    <w:right w:val="single" w:color="auto" w:sz="4" w:space="0"/>
                  </w:tcBorders>
                  <w:vAlign w:val="center"/>
                </w:tcPr>
                <w:p>
                  <w:pPr>
                    <w:pStyle w:val="75"/>
                    <w:spacing w:before="24" w:after="24"/>
                  </w:pPr>
                  <w:r>
                    <w:t>100m</w:t>
                  </w:r>
                  <w:r>
                    <w:rPr>
                      <w:vertAlign w:val="superscript"/>
                    </w:rPr>
                    <w:t>3</w:t>
                  </w:r>
                  <w:r>
                    <w:t>，初期雨水收集池</w:t>
                  </w:r>
                </w:p>
              </w:tc>
              <w:tc>
                <w:tcPr>
                  <w:tcW w:w="1537" w:type="dxa"/>
                  <w:tcBorders>
                    <w:top w:val="single" w:color="auto" w:sz="4" w:space="0"/>
                    <w:left w:val="single" w:color="auto" w:sz="4" w:space="0"/>
                    <w:bottom w:val="single" w:color="auto" w:sz="4" w:space="0"/>
                    <w:right w:val="single" w:color="auto" w:sz="4" w:space="0"/>
                  </w:tcBorders>
                  <w:vAlign w:val="center"/>
                </w:tcPr>
                <w:p>
                  <w:pPr>
                    <w:pStyle w:val="75"/>
                    <w:spacing w:before="24" w:after="24"/>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22" w:type="dxa"/>
                  <w:vMerge w:val="continue"/>
                  <w:tcBorders>
                    <w:left w:val="single" w:color="auto" w:sz="4" w:space="0"/>
                    <w:right w:val="single" w:color="auto" w:sz="4" w:space="0"/>
                  </w:tcBorders>
                  <w:vAlign w:val="center"/>
                </w:tcPr>
                <w:p>
                  <w:pPr>
                    <w:pStyle w:val="75"/>
                    <w:spacing w:before="24" w:after="24"/>
                    <w:rPr>
                      <w:rFonts w:eastAsiaTheme="minorEastAsia"/>
                      <w:szCs w:val="24"/>
                    </w:rPr>
                  </w:pPr>
                </w:p>
              </w:tc>
              <w:tc>
                <w:tcPr>
                  <w:tcW w:w="574" w:type="dxa"/>
                  <w:vMerge w:val="continue"/>
                  <w:tcBorders>
                    <w:top w:val="single" w:color="auto" w:sz="4" w:space="0"/>
                    <w:left w:val="single" w:color="auto" w:sz="4" w:space="0"/>
                    <w:bottom w:val="single" w:color="auto" w:sz="4" w:space="0"/>
                    <w:right w:val="single" w:color="auto" w:sz="4" w:space="0"/>
                  </w:tcBorders>
                  <w:vAlign w:val="center"/>
                </w:tcPr>
                <w:p>
                  <w:pPr>
                    <w:pStyle w:val="75"/>
                    <w:spacing w:before="24" w:after="24"/>
                    <w:rPr>
                      <w:rFonts w:eastAsiaTheme="minorEastAsia"/>
                      <w:szCs w:val="24"/>
                    </w:rPr>
                  </w:pPr>
                </w:p>
              </w:tc>
              <w:tc>
                <w:tcPr>
                  <w:tcW w:w="1673" w:type="dxa"/>
                  <w:tcBorders>
                    <w:top w:val="single" w:color="auto" w:sz="4" w:space="0"/>
                    <w:left w:val="single" w:color="auto" w:sz="4" w:space="0"/>
                    <w:bottom w:val="single" w:color="auto" w:sz="4" w:space="0"/>
                    <w:right w:val="single" w:color="auto" w:sz="4" w:space="0"/>
                  </w:tcBorders>
                  <w:vAlign w:val="center"/>
                </w:tcPr>
                <w:p>
                  <w:pPr>
                    <w:pStyle w:val="75"/>
                    <w:spacing w:before="24" w:after="24"/>
                  </w:pPr>
                  <w:r>
                    <w:t>截洪沟</w:t>
                  </w:r>
                </w:p>
              </w:tc>
              <w:tc>
                <w:tcPr>
                  <w:tcW w:w="7481" w:type="dxa"/>
                  <w:tcBorders>
                    <w:top w:val="single" w:color="auto" w:sz="4" w:space="0"/>
                    <w:left w:val="single" w:color="auto" w:sz="4" w:space="0"/>
                    <w:bottom w:val="single" w:color="auto" w:sz="4" w:space="0"/>
                    <w:right w:val="single" w:color="auto" w:sz="4" w:space="0"/>
                  </w:tcBorders>
                  <w:vAlign w:val="center"/>
                </w:tcPr>
                <w:p>
                  <w:pPr>
                    <w:pStyle w:val="75"/>
                    <w:spacing w:before="24" w:after="24"/>
                  </w:pPr>
                  <w:r>
                    <w:t>设置950m截洪沟防止厂区外雨水进入厂区</w:t>
                  </w:r>
                </w:p>
              </w:tc>
              <w:tc>
                <w:tcPr>
                  <w:tcW w:w="1537" w:type="dxa"/>
                  <w:tcBorders>
                    <w:top w:val="single" w:color="auto" w:sz="4" w:space="0"/>
                    <w:left w:val="single" w:color="auto" w:sz="4" w:space="0"/>
                    <w:bottom w:val="single" w:color="auto" w:sz="4" w:space="0"/>
                    <w:right w:val="single" w:color="auto" w:sz="4" w:space="0"/>
                  </w:tcBorders>
                  <w:vAlign w:val="center"/>
                </w:tcPr>
                <w:p>
                  <w:pPr>
                    <w:pStyle w:val="75"/>
                    <w:spacing w:before="24" w:after="24"/>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22" w:type="dxa"/>
                  <w:vMerge w:val="continue"/>
                  <w:tcBorders>
                    <w:left w:val="single" w:color="auto" w:sz="4" w:space="0"/>
                    <w:right w:val="single" w:color="auto" w:sz="4" w:space="0"/>
                  </w:tcBorders>
                  <w:vAlign w:val="center"/>
                </w:tcPr>
                <w:p>
                  <w:pPr>
                    <w:pStyle w:val="75"/>
                    <w:spacing w:before="24" w:after="24"/>
                    <w:rPr>
                      <w:rFonts w:eastAsiaTheme="minorEastAsia"/>
                      <w:szCs w:val="24"/>
                    </w:rPr>
                  </w:pPr>
                </w:p>
              </w:tc>
              <w:tc>
                <w:tcPr>
                  <w:tcW w:w="574" w:type="dxa"/>
                  <w:vMerge w:val="continue"/>
                  <w:tcBorders>
                    <w:top w:val="single" w:color="auto" w:sz="4" w:space="0"/>
                    <w:left w:val="single" w:color="auto" w:sz="4" w:space="0"/>
                    <w:bottom w:val="single" w:color="auto" w:sz="4" w:space="0"/>
                    <w:right w:val="single" w:color="auto" w:sz="4" w:space="0"/>
                  </w:tcBorders>
                  <w:vAlign w:val="center"/>
                </w:tcPr>
                <w:p>
                  <w:pPr>
                    <w:pStyle w:val="75"/>
                    <w:spacing w:before="24" w:after="24"/>
                    <w:rPr>
                      <w:rFonts w:eastAsiaTheme="minorEastAsia"/>
                      <w:szCs w:val="24"/>
                    </w:rPr>
                  </w:pPr>
                </w:p>
              </w:tc>
              <w:tc>
                <w:tcPr>
                  <w:tcW w:w="1673" w:type="dxa"/>
                  <w:tcBorders>
                    <w:top w:val="single" w:color="auto" w:sz="4" w:space="0"/>
                    <w:left w:val="single" w:color="auto" w:sz="4" w:space="0"/>
                    <w:bottom w:val="single" w:color="auto" w:sz="4" w:space="0"/>
                    <w:right w:val="single" w:color="auto" w:sz="4" w:space="0"/>
                  </w:tcBorders>
                  <w:vAlign w:val="center"/>
                </w:tcPr>
                <w:p>
                  <w:pPr>
                    <w:pStyle w:val="75"/>
                    <w:spacing w:before="24" w:after="24"/>
                  </w:pPr>
                  <w:r>
                    <w:t>厨房隔油池</w:t>
                  </w:r>
                </w:p>
              </w:tc>
              <w:tc>
                <w:tcPr>
                  <w:tcW w:w="7481" w:type="dxa"/>
                  <w:tcBorders>
                    <w:top w:val="single" w:color="auto" w:sz="4" w:space="0"/>
                    <w:left w:val="single" w:color="auto" w:sz="4" w:space="0"/>
                    <w:bottom w:val="single" w:color="auto" w:sz="4" w:space="0"/>
                    <w:right w:val="single" w:color="auto" w:sz="4" w:space="0"/>
                  </w:tcBorders>
                  <w:vAlign w:val="center"/>
                </w:tcPr>
                <w:p>
                  <w:pPr>
                    <w:pStyle w:val="75"/>
                    <w:spacing w:before="24" w:after="24"/>
                  </w:pPr>
                  <w:r>
                    <w:t>1座，容积1m</w:t>
                  </w:r>
                  <w:r>
                    <w:rPr>
                      <w:vertAlign w:val="superscript"/>
                    </w:rPr>
                    <w:t>3</w:t>
                  </w:r>
                </w:p>
              </w:tc>
              <w:tc>
                <w:tcPr>
                  <w:tcW w:w="1537" w:type="dxa"/>
                  <w:tcBorders>
                    <w:top w:val="single" w:color="auto" w:sz="4" w:space="0"/>
                    <w:left w:val="single" w:color="auto" w:sz="4" w:space="0"/>
                    <w:bottom w:val="single" w:color="auto" w:sz="4" w:space="0"/>
                    <w:right w:val="single" w:color="auto" w:sz="4" w:space="0"/>
                  </w:tcBorders>
                  <w:vAlign w:val="center"/>
                </w:tcPr>
                <w:p>
                  <w:pPr>
                    <w:pStyle w:val="75"/>
                    <w:spacing w:before="24" w:after="24"/>
                  </w:pPr>
                  <w: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22" w:type="dxa"/>
                  <w:vMerge w:val="continue"/>
                  <w:tcBorders>
                    <w:left w:val="single" w:color="auto" w:sz="4" w:space="0"/>
                    <w:right w:val="single" w:color="auto" w:sz="4" w:space="0"/>
                  </w:tcBorders>
                  <w:vAlign w:val="center"/>
                </w:tcPr>
                <w:p>
                  <w:pPr>
                    <w:pStyle w:val="75"/>
                    <w:spacing w:before="24" w:after="24"/>
                    <w:rPr>
                      <w:rFonts w:eastAsiaTheme="minorEastAsia"/>
                      <w:szCs w:val="24"/>
                    </w:rPr>
                  </w:pPr>
                </w:p>
              </w:tc>
              <w:tc>
                <w:tcPr>
                  <w:tcW w:w="574" w:type="dxa"/>
                  <w:vMerge w:val="restart"/>
                  <w:tcBorders>
                    <w:top w:val="single" w:color="auto" w:sz="4" w:space="0"/>
                    <w:left w:val="single" w:color="auto" w:sz="4" w:space="0"/>
                    <w:bottom w:val="single" w:color="auto" w:sz="4" w:space="0"/>
                    <w:right w:val="single" w:color="auto" w:sz="4" w:space="0"/>
                  </w:tcBorders>
                  <w:vAlign w:val="center"/>
                </w:tcPr>
                <w:p>
                  <w:pPr>
                    <w:pStyle w:val="75"/>
                    <w:spacing w:before="24" w:after="24"/>
                  </w:pPr>
                  <w:r>
                    <w:t>固废</w:t>
                  </w:r>
                </w:p>
              </w:tc>
              <w:tc>
                <w:tcPr>
                  <w:tcW w:w="1673" w:type="dxa"/>
                  <w:tcBorders>
                    <w:top w:val="single" w:color="auto" w:sz="4" w:space="0"/>
                    <w:left w:val="single" w:color="auto" w:sz="4" w:space="0"/>
                    <w:bottom w:val="single" w:color="auto" w:sz="4" w:space="0"/>
                    <w:right w:val="single" w:color="auto" w:sz="4" w:space="0"/>
                  </w:tcBorders>
                  <w:vAlign w:val="center"/>
                </w:tcPr>
                <w:p>
                  <w:pPr>
                    <w:pStyle w:val="75"/>
                    <w:spacing w:before="24" w:after="24"/>
                  </w:pPr>
                  <w:r>
                    <w:t>生活垃圾</w:t>
                  </w:r>
                </w:p>
              </w:tc>
              <w:tc>
                <w:tcPr>
                  <w:tcW w:w="7481" w:type="dxa"/>
                  <w:tcBorders>
                    <w:top w:val="single" w:color="auto" w:sz="4" w:space="0"/>
                    <w:left w:val="single" w:color="auto" w:sz="4" w:space="0"/>
                    <w:bottom w:val="single" w:color="auto" w:sz="4" w:space="0"/>
                    <w:right w:val="single" w:color="auto" w:sz="4" w:space="0"/>
                  </w:tcBorders>
                  <w:vAlign w:val="center"/>
                </w:tcPr>
                <w:p>
                  <w:pPr>
                    <w:pStyle w:val="75"/>
                    <w:spacing w:before="24" w:after="24"/>
                  </w:pPr>
                  <w:r>
                    <w:t>垃圾收集到垃圾桶后交由环卫部门</w:t>
                  </w:r>
                </w:p>
              </w:tc>
              <w:tc>
                <w:tcPr>
                  <w:tcW w:w="1537" w:type="dxa"/>
                  <w:tcBorders>
                    <w:top w:val="single" w:color="auto" w:sz="4" w:space="0"/>
                    <w:left w:val="single" w:color="auto" w:sz="4" w:space="0"/>
                    <w:bottom w:val="single" w:color="auto" w:sz="4" w:space="0"/>
                    <w:right w:val="single" w:color="auto" w:sz="4" w:space="0"/>
                  </w:tcBorders>
                  <w:vAlign w:val="center"/>
                </w:tcPr>
                <w:p>
                  <w:pPr>
                    <w:pStyle w:val="75"/>
                    <w:spacing w:before="24" w:after="24"/>
                  </w:pP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22" w:type="dxa"/>
                  <w:vMerge w:val="continue"/>
                  <w:tcBorders>
                    <w:left w:val="single" w:color="auto" w:sz="4" w:space="0"/>
                    <w:right w:val="single" w:color="auto" w:sz="4" w:space="0"/>
                  </w:tcBorders>
                  <w:vAlign w:val="center"/>
                </w:tcPr>
                <w:p>
                  <w:pPr>
                    <w:pStyle w:val="75"/>
                    <w:spacing w:before="24" w:after="24"/>
                    <w:rPr>
                      <w:rFonts w:eastAsiaTheme="minorEastAsia"/>
                      <w:szCs w:val="24"/>
                    </w:rPr>
                  </w:pPr>
                </w:p>
              </w:tc>
              <w:tc>
                <w:tcPr>
                  <w:tcW w:w="574" w:type="dxa"/>
                  <w:vMerge w:val="continue"/>
                  <w:tcBorders>
                    <w:top w:val="single" w:color="auto" w:sz="4" w:space="0"/>
                    <w:left w:val="single" w:color="auto" w:sz="4" w:space="0"/>
                    <w:bottom w:val="single" w:color="auto" w:sz="4" w:space="0"/>
                    <w:right w:val="single" w:color="auto" w:sz="4" w:space="0"/>
                  </w:tcBorders>
                  <w:vAlign w:val="center"/>
                </w:tcPr>
                <w:p>
                  <w:pPr>
                    <w:pStyle w:val="75"/>
                    <w:spacing w:before="24" w:after="24"/>
                    <w:rPr>
                      <w:rFonts w:eastAsiaTheme="minorEastAsia"/>
                      <w:szCs w:val="24"/>
                    </w:rPr>
                  </w:pPr>
                </w:p>
              </w:tc>
              <w:tc>
                <w:tcPr>
                  <w:tcW w:w="1673" w:type="dxa"/>
                  <w:tcBorders>
                    <w:top w:val="single" w:color="auto" w:sz="4" w:space="0"/>
                    <w:left w:val="single" w:color="auto" w:sz="4" w:space="0"/>
                    <w:bottom w:val="single" w:color="auto" w:sz="4" w:space="0"/>
                    <w:right w:val="single" w:color="auto" w:sz="4" w:space="0"/>
                  </w:tcBorders>
                  <w:vAlign w:val="center"/>
                </w:tcPr>
                <w:p>
                  <w:pPr>
                    <w:pStyle w:val="75"/>
                    <w:spacing w:before="24" w:after="24"/>
                  </w:pPr>
                  <w:r>
                    <w:t>废机油等危废</w:t>
                  </w:r>
                </w:p>
              </w:tc>
              <w:tc>
                <w:tcPr>
                  <w:tcW w:w="7481" w:type="dxa"/>
                  <w:tcBorders>
                    <w:top w:val="single" w:color="auto" w:sz="4" w:space="0"/>
                    <w:left w:val="single" w:color="auto" w:sz="4" w:space="0"/>
                    <w:bottom w:val="single" w:color="auto" w:sz="4" w:space="0"/>
                    <w:right w:val="single" w:color="auto" w:sz="4" w:space="0"/>
                  </w:tcBorders>
                  <w:vAlign w:val="center"/>
                </w:tcPr>
                <w:p>
                  <w:pPr>
                    <w:pStyle w:val="75"/>
                    <w:spacing w:before="24" w:after="24"/>
                  </w:pPr>
                  <w:r>
                    <w:t>设1间危险废物暂存间，5m</w:t>
                  </w:r>
                  <w:r>
                    <w:rPr>
                      <w:vertAlign w:val="superscript"/>
                    </w:rPr>
                    <w:t>2</w:t>
                  </w:r>
                  <w:r>
                    <w:t>，危废收集桶2个</w:t>
                  </w:r>
                </w:p>
              </w:tc>
              <w:tc>
                <w:tcPr>
                  <w:tcW w:w="1537" w:type="dxa"/>
                  <w:tcBorders>
                    <w:top w:val="single" w:color="auto" w:sz="4" w:space="0"/>
                    <w:left w:val="single" w:color="auto" w:sz="4" w:space="0"/>
                    <w:bottom w:val="single" w:color="auto" w:sz="4" w:space="0"/>
                    <w:right w:val="single" w:color="auto" w:sz="4" w:space="0"/>
                  </w:tcBorders>
                  <w:vAlign w:val="center"/>
                </w:tcPr>
                <w:p>
                  <w:pPr>
                    <w:pStyle w:val="75"/>
                    <w:spacing w:before="24" w:after="24"/>
                  </w:pPr>
                  <w: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22" w:type="dxa"/>
                  <w:vMerge w:val="continue"/>
                  <w:tcBorders>
                    <w:left w:val="single" w:color="auto" w:sz="4" w:space="0"/>
                    <w:right w:val="single" w:color="auto" w:sz="4" w:space="0"/>
                  </w:tcBorders>
                  <w:vAlign w:val="center"/>
                </w:tcPr>
                <w:p>
                  <w:pPr>
                    <w:pStyle w:val="75"/>
                    <w:spacing w:before="24" w:after="24"/>
                    <w:rPr>
                      <w:rFonts w:eastAsiaTheme="minorEastAsia"/>
                      <w:szCs w:val="24"/>
                    </w:rPr>
                  </w:pPr>
                </w:p>
              </w:tc>
              <w:tc>
                <w:tcPr>
                  <w:tcW w:w="574" w:type="dxa"/>
                  <w:tcBorders>
                    <w:top w:val="single" w:color="auto" w:sz="4" w:space="0"/>
                    <w:left w:val="single" w:color="auto" w:sz="4" w:space="0"/>
                    <w:bottom w:val="single" w:color="auto" w:sz="4" w:space="0"/>
                    <w:right w:val="single" w:color="auto" w:sz="4" w:space="0"/>
                  </w:tcBorders>
                  <w:vAlign w:val="center"/>
                </w:tcPr>
                <w:p>
                  <w:pPr>
                    <w:pStyle w:val="75"/>
                    <w:spacing w:before="24" w:after="24"/>
                  </w:pPr>
                  <w:r>
                    <w:t>噪声</w:t>
                  </w:r>
                </w:p>
              </w:tc>
              <w:tc>
                <w:tcPr>
                  <w:tcW w:w="1673" w:type="dxa"/>
                  <w:tcBorders>
                    <w:top w:val="single" w:color="auto" w:sz="4" w:space="0"/>
                    <w:left w:val="single" w:color="auto" w:sz="4" w:space="0"/>
                    <w:bottom w:val="single" w:color="auto" w:sz="4" w:space="0"/>
                    <w:right w:val="single" w:color="auto" w:sz="4" w:space="0"/>
                  </w:tcBorders>
                  <w:vAlign w:val="center"/>
                </w:tcPr>
                <w:p>
                  <w:pPr>
                    <w:pStyle w:val="75"/>
                    <w:spacing w:before="24" w:after="24"/>
                  </w:pPr>
                  <w:r>
                    <w:t>设备噪声，运输噪声</w:t>
                  </w:r>
                </w:p>
              </w:tc>
              <w:tc>
                <w:tcPr>
                  <w:tcW w:w="7481" w:type="dxa"/>
                  <w:tcBorders>
                    <w:top w:val="single" w:color="auto" w:sz="4" w:space="0"/>
                    <w:left w:val="single" w:color="auto" w:sz="4" w:space="0"/>
                    <w:bottom w:val="single" w:color="auto" w:sz="4" w:space="0"/>
                    <w:right w:val="single" w:color="auto" w:sz="4" w:space="0"/>
                  </w:tcBorders>
                  <w:vAlign w:val="center"/>
                </w:tcPr>
                <w:p>
                  <w:pPr>
                    <w:pStyle w:val="75"/>
                    <w:spacing w:before="24" w:after="24"/>
                  </w:pPr>
                  <w:r>
                    <w:t>基础减震、屏蔽措施等，禁止鸣笛等</w:t>
                  </w:r>
                </w:p>
              </w:tc>
              <w:tc>
                <w:tcPr>
                  <w:tcW w:w="1537" w:type="dxa"/>
                  <w:tcBorders>
                    <w:top w:val="single" w:color="auto" w:sz="4" w:space="0"/>
                    <w:left w:val="single" w:color="auto" w:sz="4" w:space="0"/>
                    <w:bottom w:val="single" w:color="auto" w:sz="4" w:space="0"/>
                    <w:right w:val="single" w:color="auto" w:sz="4" w:space="0"/>
                  </w:tcBorders>
                  <w:vAlign w:val="center"/>
                </w:tcPr>
                <w:p>
                  <w:pPr>
                    <w:pStyle w:val="75"/>
                    <w:spacing w:before="24" w:after="24"/>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22" w:type="dxa"/>
                  <w:vMerge w:val="continue"/>
                  <w:tcBorders>
                    <w:left w:val="single" w:color="auto" w:sz="4" w:space="0"/>
                    <w:bottom w:val="single" w:color="auto" w:sz="4" w:space="0"/>
                    <w:right w:val="single" w:color="auto" w:sz="4" w:space="0"/>
                  </w:tcBorders>
                  <w:vAlign w:val="center"/>
                </w:tcPr>
                <w:p>
                  <w:pPr>
                    <w:pStyle w:val="75"/>
                    <w:spacing w:before="24" w:after="24"/>
                    <w:rPr>
                      <w:rFonts w:eastAsiaTheme="minorEastAsia"/>
                      <w:szCs w:val="24"/>
                    </w:rPr>
                  </w:pPr>
                </w:p>
              </w:tc>
              <w:tc>
                <w:tcPr>
                  <w:tcW w:w="574" w:type="dxa"/>
                  <w:tcBorders>
                    <w:top w:val="single" w:color="auto" w:sz="4" w:space="0"/>
                    <w:left w:val="single" w:color="auto" w:sz="4" w:space="0"/>
                    <w:bottom w:val="single" w:color="auto" w:sz="4" w:space="0"/>
                    <w:right w:val="single" w:color="auto" w:sz="4" w:space="0"/>
                  </w:tcBorders>
                  <w:vAlign w:val="center"/>
                </w:tcPr>
                <w:p>
                  <w:pPr>
                    <w:pStyle w:val="75"/>
                    <w:spacing w:before="24" w:after="24"/>
                  </w:pPr>
                  <w:r>
                    <w:t>绿化</w:t>
                  </w:r>
                </w:p>
              </w:tc>
              <w:tc>
                <w:tcPr>
                  <w:tcW w:w="1673" w:type="dxa"/>
                  <w:tcBorders>
                    <w:top w:val="single" w:color="auto" w:sz="4" w:space="0"/>
                    <w:left w:val="single" w:color="auto" w:sz="4" w:space="0"/>
                    <w:bottom w:val="single" w:color="auto" w:sz="4" w:space="0"/>
                    <w:right w:val="single" w:color="auto" w:sz="4" w:space="0"/>
                  </w:tcBorders>
                  <w:vAlign w:val="center"/>
                </w:tcPr>
                <w:p>
                  <w:pPr>
                    <w:pStyle w:val="75"/>
                    <w:spacing w:before="24" w:after="24"/>
                  </w:pPr>
                  <w:r>
                    <w:t>厂区绿化</w:t>
                  </w:r>
                </w:p>
              </w:tc>
              <w:tc>
                <w:tcPr>
                  <w:tcW w:w="7481" w:type="dxa"/>
                  <w:tcBorders>
                    <w:top w:val="single" w:color="auto" w:sz="4" w:space="0"/>
                    <w:left w:val="single" w:color="auto" w:sz="4" w:space="0"/>
                    <w:bottom w:val="single" w:color="auto" w:sz="4" w:space="0"/>
                    <w:right w:val="single" w:color="auto" w:sz="4" w:space="0"/>
                  </w:tcBorders>
                  <w:vAlign w:val="center"/>
                </w:tcPr>
                <w:p>
                  <w:pPr>
                    <w:pStyle w:val="75"/>
                    <w:spacing w:before="24" w:after="24"/>
                  </w:pPr>
                  <w:r>
                    <w:t>不少于500m</w:t>
                  </w:r>
                  <w:r>
                    <w:rPr>
                      <w:vertAlign w:val="superscript"/>
                    </w:rPr>
                    <w:t>2</w:t>
                  </w:r>
                </w:p>
              </w:tc>
              <w:tc>
                <w:tcPr>
                  <w:tcW w:w="1537" w:type="dxa"/>
                  <w:tcBorders>
                    <w:top w:val="single" w:color="auto" w:sz="4" w:space="0"/>
                    <w:left w:val="single" w:color="auto" w:sz="4" w:space="0"/>
                    <w:bottom w:val="single" w:color="auto" w:sz="4" w:space="0"/>
                    <w:right w:val="single" w:color="auto" w:sz="4" w:space="0"/>
                  </w:tcBorders>
                  <w:vAlign w:val="center"/>
                </w:tcPr>
                <w:p>
                  <w:pPr>
                    <w:pStyle w:val="75"/>
                    <w:spacing w:before="24" w:after="24"/>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969" w:type="dxa"/>
                  <w:gridSpan w:val="3"/>
                  <w:vMerge w:val="restart"/>
                  <w:tcBorders>
                    <w:top w:val="single" w:color="auto" w:sz="4" w:space="0"/>
                    <w:left w:val="single" w:color="auto" w:sz="4" w:space="0"/>
                    <w:bottom w:val="single" w:color="auto" w:sz="4" w:space="0"/>
                    <w:right w:val="single" w:color="auto" w:sz="4" w:space="0"/>
                  </w:tcBorders>
                  <w:vAlign w:val="center"/>
                </w:tcPr>
                <w:p>
                  <w:pPr>
                    <w:pStyle w:val="75"/>
                    <w:spacing w:before="24" w:after="24"/>
                  </w:pPr>
                  <w:r>
                    <w:t>环境管理</w:t>
                  </w:r>
                </w:p>
              </w:tc>
              <w:tc>
                <w:tcPr>
                  <w:tcW w:w="7481" w:type="dxa"/>
                  <w:tcBorders>
                    <w:top w:val="single" w:color="auto" w:sz="4" w:space="0"/>
                    <w:left w:val="single" w:color="auto" w:sz="4" w:space="0"/>
                    <w:bottom w:val="single" w:color="auto" w:sz="4" w:space="0"/>
                    <w:right w:val="single" w:color="auto" w:sz="4" w:space="0"/>
                  </w:tcBorders>
                  <w:vAlign w:val="center"/>
                </w:tcPr>
                <w:p>
                  <w:pPr>
                    <w:pStyle w:val="75"/>
                    <w:spacing w:before="24" w:after="24"/>
                  </w:pPr>
                  <w:r>
                    <w:t>环评报告表编制费用</w:t>
                  </w:r>
                </w:p>
              </w:tc>
              <w:tc>
                <w:tcPr>
                  <w:tcW w:w="1537" w:type="dxa"/>
                  <w:tcBorders>
                    <w:top w:val="single" w:color="auto" w:sz="4" w:space="0"/>
                    <w:left w:val="single" w:color="auto" w:sz="4" w:space="0"/>
                    <w:bottom w:val="single" w:color="auto" w:sz="4" w:space="0"/>
                    <w:right w:val="single" w:color="auto" w:sz="4" w:space="0"/>
                  </w:tcBorders>
                  <w:vAlign w:val="center"/>
                </w:tcPr>
                <w:p>
                  <w:pPr>
                    <w:pStyle w:val="75"/>
                    <w:spacing w:before="24" w:after="24"/>
                  </w:pPr>
                  <w: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969" w:type="dxa"/>
                  <w:gridSpan w:val="3"/>
                  <w:vMerge w:val="continue"/>
                  <w:tcBorders>
                    <w:top w:val="single" w:color="auto" w:sz="4" w:space="0"/>
                    <w:left w:val="single" w:color="auto" w:sz="4" w:space="0"/>
                    <w:bottom w:val="single" w:color="auto" w:sz="4" w:space="0"/>
                    <w:right w:val="single" w:color="auto" w:sz="4" w:space="0"/>
                  </w:tcBorders>
                  <w:vAlign w:val="center"/>
                </w:tcPr>
                <w:p>
                  <w:pPr>
                    <w:pStyle w:val="75"/>
                    <w:spacing w:before="24" w:after="24"/>
                    <w:rPr>
                      <w:rFonts w:eastAsiaTheme="minorEastAsia"/>
                      <w:szCs w:val="24"/>
                    </w:rPr>
                  </w:pPr>
                </w:p>
              </w:tc>
              <w:tc>
                <w:tcPr>
                  <w:tcW w:w="7481" w:type="dxa"/>
                  <w:tcBorders>
                    <w:top w:val="single" w:color="auto" w:sz="4" w:space="0"/>
                    <w:left w:val="single" w:color="auto" w:sz="4" w:space="0"/>
                    <w:bottom w:val="single" w:color="auto" w:sz="4" w:space="0"/>
                    <w:right w:val="single" w:color="auto" w:sz="4" w:space="0"/>
                  </w:tcBorders>
                  <w:vAlign w:val="center"/>
                </w:tcPr>
                <w:p>
                  <w:pPr>
                    <w:pStyle w:val="75"/>
                    <w:spacing w:before="24" w:after="24"/>
                  </w:pPr>
                  <w:r>
                    <w:t>环保验收检测、报告编制费</w:t>
                  </w:r>
                </w:p>
              </w:tc>
              <w:tc>
                <w:tcPr>
                  <w:tcW w:w="1537" w:type="dxa"/>
                  <w:tcBorders>
                    <w:top w:val="single" w:color="auto" w:sz="4" w:space="0"/>
                    <w:left w:val="single" w:color="auto" w:sz="4" w:space="0"/>
                    <w:bottom w:val="single" w:color="auto" w:sz="4" w:space="0"/>
                    <w:right w:val="single" w:color="auto" w:sz="4" w:space="0"/>
                  </w:tcBorders>
                  <w:vAlign w:val="center"/>
                </w:tcPr>
                <w:p>
                  <w:pPr>
                    <w:pStyle w:val="75"/>
                    <w:spacing w:before="24" w:after="24"/>
                  </w:pPr>
                  <w: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0450" w:type="dxa"/>
                  <w:gridSpan w:val="4"/>
                  <w:tcBorders>
                    <w:top w:val="single" w:color="auto" w:sz="4" w:space="0"/>
                    <w:left w:val="single" w:color="auto" w:sz="4" w:space="0"/>
                    <w:bottom w:val="single" w:color="auto" w:sz="4" w:space="0"/>
                    <w:right w:val="single" w:color="auto" w:sz="4" w:space="0"/>
                  </w:tcBorders>
                  <w:vAlign w:val="center"/>
                </w:tcPr>
                <w:p>
                  <w:pPr>
                    <w:pStyle w:val="75"/>
                    <w:spacing w:before="24" w:after="24"/>
                  </w:pPr>
                  <w:r>
                    <w:t>总计</w:t>
                  </w:r>
                </w:p>
              </w:tc>
              <w:tc>
                <w:tcPr>
                  <w:tcW w:w="1537" w:type="dxa"/>
                  <w:tcBorders>
                    <w:top w:val="single" w:color="auto" w:sz="4" w:space="0"/>
                    <w:left w:val="single" w:color="auto" w:sz="4" w:space="0"/>
                    <w:bottom w:val="single" w:color="auto" w:sz="4" w:space="0"/>
                    <w:right w:val="single" w:color="auto" w:sz="4" w:space="0"/>
                  </w:tcBorders>
                  <w:vAlign w:val="center"/>
                </w:tcPr>
                <w:p>
                  <w:pPr>
                    <w:pStyle w:val="75"/>
                    <w:spacing w:before="24" w:after="24"/>
                  </w:pPr>
                  <w:r>
                    <w:fldChar w:fldCharType="begin"/>
                  </w:r>
                  <w:r>
                    <w:instrText xml:space="preserve"> =SUM(ABOVE) </w:instrText>
                  </w:r>
                  <w:r>
                    <w:fldChar w:fldCharType="separate"/>
                  </w:r>
                  <w:r>
                    <w:t>26.9</w:t>
                  </w:r>
                  <w:r>
                    <w:fldChar w:fldCharType="end"/>
                  </w:r>
                </w:p>
              </w:tc>
            </w:tr>
          </w:tbl>
          <w:p>
            <w:pPr>
              <w:pStyle w:val="6"/>
              <w:rPr>
                <w:lang w:val="zh-CN"/>
              </w:rPr>
            </w:pPr>
          </w:p>
          <w:p>
            <w:pPr>
              <w:rPr>
                <w:lang w:val="zh-CN"/>
              </w:rPr>
            </w:pPr>
          </w:p>
          <w:p>
            <w:pPr>
              <w:pStyle w:val="6"/>
              <w:rPr>
                <w:lang w:val="zh-CN"/>
              </w:rPr>
            </w:pPr>
          </w:p>
          <w:p>
            <w:pPr>
              <w:rPr>
                <w:lang w:val="zh-CN"/>
              </w:rPr>
            </w:pPr>
          </w:p>
          <w:p>
            <w:pPr>
              <w:pStyle w:val="6"/>
              <w:rPr>
                <w:lang w:val="zh-CN"/>
              </w:rPr>
            </w:pPr>
          </w:p>
          <w:p>
            <w:pPr>
              <w:rPr>
                <w:lang w:val="zh-CN"/>
              </w:rPr>
            </w:pPr>
          </w:p>
          <w:p>
            <w:pPr>
              <w:pStyle w:val="6"/>
              <w:rPr>
                <w:lang w:val="zh-CN"/>
              </w:rPr>
            </w:pPr>
          </w:p>
          <w:p>
            <w:pPr>
              <w:rPr>
                <w:lang w:val="zh-CN"/>
              </w:rPr>
            </w:pPr>
          </w:p>
          <w:p>
            <w:pPr>
              <w:pStyle w:val="6"/>
              <w:rPr>
                <w:lang w:val="zh-CN"/>
              </w:rPr>
            </w:pPr>
          </w:p>
        </w:tc>
      </w:tr>
    </w:tbl>
    <w:p>
      <w:pPr>
        <w:pStyle w:val="22"/>
        <w:jc w:val="center"/>
        <w:outlineLvl w:val="0"/>
        <w:rPr>
          <w:rFonts w:ascii="Times New Roman" w:hAnsi="Times New Roman"/>
          <w:snapToGrid w:val="0"/>
        </w:rPr>
        <w:sectPr>
          <w:pgSz w:w="16838" w:h="11906" w:orient="landscape"/>
          <w:pgMar w:top="1418" w:right="1134" w:bottom="1247" w:left="1134" w:header="851" w:footer="851" w:gutter="0"/>
          <w:pgNumType w:fmt="numberInDash"/>
          <w:cols w:space="720" w:num="1"/>
          <w:docGrid w:linePitch="312" w:charSpace="0"/>
        </w:sectPr>
      </w:pPr>
      <w:bookmarkStart w:id="19" w:name="_Toc5887"/>
    </w:p>
    <w:p>
      <w:pPr>
        <w:pStyle w:val="22"/>
        <w:jc w:val="center"/>
        <w:outlineLvl w:val="0"/>
        <w:rPr>
          <w:rFonts w:ascii="Times New Roman" w:hAnsi="Times New Roman" w:eastAsia="黑体"/>
          <w:snapToGrid w:val="0"/>
          <w:sz w:val="30"/>
          <w:szCs w:val="30"/>
        </w:rPr>
      </w:pPr>
      <w:r>
        <w:rPr>
          <w:rFonts w:ascii="Times New Roman" w:hAnsi="Times New Roman" w:eastAsia="黑体"/>
          <w:snapToGrid w:val="0"/>
          <w:sz w:val="30"/>
          <w:szCs w:val="30"/>
        </w:rPr>
        <w:t>六、结论</w:t>
      </w:r>
      <w:bookmarkEnd w:id="19"/>
    </w:p>
    <w:tbl>
      <w:tblPr>
        <w:tblStyle w:val="25"/>
        <w:tblW w:w="88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91" w:hRule="atLeast"/>
          <w:jc w:val="center"/>
        </w:trPr>
        <w:tc>
          <w:tcPr>
            <w:tcW w:w="8865" w:type="dxa"/>
            <w:vAlign w:val="center"/>
          </w:tcPr>
          <w:p>
            <w:pPr>
              <w:spacing w:line="360" w:lineRule="auto"/>
              <w:ind w:firstLine="482" w:firstLineChars="200"/>
              <w:rPr>
                <w:b/>
                <w:bCs/>
                <w:sz w:val="24"/>
              </w:rPr>
            </w:pPr>
            <w:r>
              <w:rPr>
                <w:b/>
                <w:bCs/>
                <w:sz w:val="24"/>
              </w:rPr>
              <w:t>1、总结论</w:t>
            </w:r>
          </w:p>
          <w:p>
            <w:pPr>
              <w:spacing w:line="360" w:lineRule="auto"/>
              <w:ind w:firstLine="480" w:firstLineChars="200"/>
              <w:rPr>
                <w:sz w:val="24"/>
              </w:rPr>
            </w:pPr>
            <w:r>
              <w:rPr>
                <w:sz w:val="24"/>
              </w:rPr>
              <w:t>综合各方面评价分析，本项目选址合理，项目符合国家产业政策，具有较好的经济和社会效益。项目产生的污染物在按本报告表中所提出的措施及方案进行治理、控制，并加强内部管理，实现环保设施的稳定运行，确保污染物达标排放的前提下，项目对周围环境污染影响较小。从环境保护的角度来看，本项目在地址建设是可行的。</w:t>
            </w:r>
          </w:p>
          <w:p>
            <w:pPr>
              <w:spacing w:line="360" w:lineRule="auto"/>
              <w:ind w:firstLine="482" w:firstLineChars="200"/>
              <w:rPr>
                <w:b/>
                <w:bCs/>
                <w:sz w:val="24"/>
              </w:rPr>
            </w:pPr>
            <w:bookmarkStart w:id="20" w:name="_Toc8422"/>
            <w:bookmarkStart w:id="21" w:name="_Toc13084"/>
            <w:r>
              <w:rPr>
                <w:b/>
                <w:bCs/>
                <w:sz w:val="24"/>
              </w:rPr>
              <w:t>2、建议</w:t>
            </w:r>
            <w:bookmarkEnd w:id="20"/>
            <w:bookmarkEnd w:id="21"/>
          </w:p>
          <w:p>
            <w:pPr>
              <w:spacing w:line="360" w:lineRule="auto"/>
              <w:ind w:firstLine="480" w:firstLineChars="200"/>
              <w:rPr>
                <w:sz w:val="24"/>
              </w:rPr>
            </w:pPr>
            <w:r>
              <w:rPr>
                <w:sz w:val="24"/>
              </w:rPr>
              <w:t>（1）加强对环保工作的管理，要认真落实“竣工环境保护验收”制度。</w:t>
            </w:r>
          </w:p>
          <w:p>
            <w:pPr>
              <w:spacing w:line="360" w:lineRule="auto"/>
              <w:ind w:firstLine="480" w:firstLineChars="200"/>
              <w:rPr>
                <w:sz w:val="24"/>
              </w:rPr>
            </w:pPr>
            <w:r>
              <w:rPr>
                <w:sz w:val="24"/>
              </w:rPr>
              <w:t>（2）加强设备的维护管理，定期检查，定期维护，保证设备正常运行，减轻后续污染处理负荷。</w:t>
            </w:r>
          </w:p>
          <w:p>
            <w:pPr>
              <w:spacing w:line="360" w:lineRule="auto"/>
              <w:ind w:firstLine="480" w:firstLineChars="200"/>
              <w:rPr>
                <w:sz w:val="24"/>
              </w:rPr>
            </w:pPr>
            <w:r>
              <w:rPr>
                <w:sz w:val="24"/>
              </w:rPr>
              <w:t>（3）加强生产物料的运输及装卸管理，减少扬尘排放；禁止原料、产品露天堆放。</w:t>
            </w:r>
          </w:p>
          <w:p>
            <w:pPr>
              <w:spacing w:line="360" w:lineRule="auto"/>
              <w:ind w:firstLine="480" w:firstLineChars="200"/>
              <w:rPr>
                <w:sz w:val="24"/>
              </w:rPr>
            </w:pPr>
            <w:r>
              <w:rPr>
                <w:sz w:val="24"/>
              </w:rPr>
              <w:t>（4）加强厂区及项目所在地周围的绿化，树种选择高大的常绿乔木与常绿的灌木相结合，多选择耐粉尘污染的树种。</w:t>
            </w:r>
          </w:p>
          <w:p>
            <w:pPr>
              <w:spacing w:line="360" w:lineRule="auto"/>
              <w:ind w:firstLine="480" w:firstLineChars="200"/>
              <w:rPr>
                <w:sz w:val="24"/>
              </w:rPr>
            </w:pPr>
            <w:r>
              <w:rPr>
                <w:sz w:val="24"/>
              </w:rPr>
              <w:t>（5）加强厂区标识标牌。</w:t>
            </w:r>
          </w:p>
          <w:p>
            <w:pPr>
              <w:spacing w:line="360" w:lineRule="auto"/>
              <w:ind w:firstLine="480" w:firstLineChars="200"/>
              <w:rPr>
                <w:sz w:val="24"/>
              </w:rPr>
            </w:pPr>
            <w:r>
              <w:rPr>
                <w:sz w:val="24"/>
              </w:rPr>
              <w:t>（6）建议配备专职环保人员，建立健全环境管理制度。</w:t>
            </w:r>
          </w:p>
          <w:p>
            <w:pPr>
              <w:spacing w:line="360" w:lineRule="auto"/>
              <w:ind w:firstLine="480" w:firstLineChars="200"/>
              <w:rPr>
                <w:sz w:val="24"/>
              </w:rPr>
            </w:pPr>
            <w:r>
              <w:rPr>
                <w:sz w:val="24"/>
              </w:rPr>
              <w:t>（7）及时清理维护截排水沟。</w:t>
            </w:r>
          </w:p>
          <w:p>
            <w:pPr>
              <w:pStyle w:val="6"/>
            </w:pPr>
          </w:p>
          <w:p/>
          <w:p>
            <w:pPr>
              <w:pStyle w:val="6"/>
            </w:pPr>
          </w:p>
          <w:p/>
          <w:p>
            <w:pPr>
              <w:pStyle w:val="6"/>
            </w:pPr>
          </w:p>
          <w:p/>
          <w:p>
            <w:pPr>
              <w:pStyle w:val="6"/>
            </w:pPr>
          </w:p>
          <w:p/>
          <w:p>
            <w:pPr>
              <w:pStyle w:val="6"/>
            </w:pPr>
          </w:p>
          <w:p/>
          <w:p>
            <w:pPr>
              <w:pStyle w:val="6"/>
            </w:pPr>
          </w:p>
          <w:p/>
          <w:p>
            <w:pPr>
              <w:pStyle w:val="6"/>
            </w:pPr>
          </w:p>
          <w:p/>
          <w:p>
            <w:pPr>
              <w:pStyle w:val="6"/>
            </w:pPr>
          </w:p>
          <w:p>
            <w:pPr>
              <w:pStyle w:val="6"/>
            </w:pPr>
          </w:p>
        </w:tc>
      </w:tr>
    </w:tbl>
    <w:p>
      <w:pPr>
        <w:sectPr>
          <w:pgSz w:w="11906" w:h="16838"/>
          <w:pgMar w:top="1134" w:right="1247" w:bottom="1134" w:left="1418" w:header="851" w:footer="851" w:gutter="0"/>
          <w:pgNumType w:fmt="numberInDash"/>
          <w:cols w:space="720" w:num="1"/>
          <w:docGrid w:linePitch="312" w:charSpace="0"/>
        </w:sectPr>
      </w:pPr>
    </w:p>
    <w:p>
      <w:pPr>
        <w:pStyle w:val="22"/>
        <w:spacing w:before="0" w:beforeAutospacing="0" w:after="0" w:afterAutospacing="0"/>
        <w:jc w:val="center"/>
        <w:outlineLvl w:val="0"/>
        <w:rPr>
          <w:rFonts w:ascii="Times New Roman" w:hAnsi="Times New Roman" w:eastAsia="黑体"/>
          <w:snapToGrid w:val="0"/>
          <w:sz w:val="30"/>
          <w:szCs w:val="30"/>
        </w:rPr>
      </w:pPr>
      <w:bookmarkStart w:id="22" w:name="_Toc20474"/>
      <w:r>
        <w:rPr>
          <w:rFonts w:ascii="Times New Roman" w:hAnsi="Times New Roman" w:eastAsia="黑体"/>
          <w:snapToGrid w:val="0"/>
          <w:sz w:val="30"/>
          <w:szCs w:val="30"/>
        </w:rPr>
        <w:t>建设项目污染物排放量汇总表</w:t>
      </w:r>
      <w:bookmarkEnd w:id="22"/>
    </w:p>
    <w:tbl>
      <w:tblPr>
        <w:tblStyle w:val="25"/>
        <w:tblW w:w="14437"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63"/>
        <w:gridCol w:w="1484"/>
        <w:gridCol w:w="1781"/>
        <w:gridCol w:w="1336"/>
        <w:gridCol w:w="1781"/>
        <w:gridCol w:w="1632"/>
        <w:gridCol w:w="1532"/>
        <w:gridCol w:w="1800"/>
        <w:gridCol w:w="14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663" w:type="dxa"/>
            <w:tcBorders>
              <w:tl2br w:val="single" w:color="auto" w:sz="4" w:space="0"/>
            </w:tcBorders>
            <w:tcMar>
              <w:left w:w="28" w:type="dxa"/>
              <w:right w:w="28" w:type="dxa"/>
            </w:tcMar>
            <w:vAlign w:val="center"/>
          </w:tcPr>
          <w:p>
            <w:pPr>
              <w:pStyle w:val="36"/>
              <w:spacing w:beforeLines="0" w:afterLines="0" w:line="240" w:lineRule="auto"/>
              <w:jc w:val="right"/>
              <w:rPr>
                <w:rFonts w:ascii="Times New Roman"/>
                <w:snapToGrid w:val="0"/>
                <w:color w:val="000000"/>
                <w:spacing w:val="-6"/>
                <w:kern w:val="21"/>
                <w:szCs w:val="21"/>
              </w:rPr>
            </w:pPr>
            <w:r>
              <w:rPr>
                <w:rFonts w:ascii="Times New Roman"/>
                <w:snapToGrid w:val="0"/>
                <w:color w:val="000000"/>
                <w:spacing w:val="-6"/>
                <w:kern w:val="21"/>
                <w:szCs w:val="21"/>
              </w:rPr>
              <w:t>项目</w:t>
            </w:r>
          </w:p>
          <w:p>
            <w:pPr>
              <w:pStyle w:val="36"/>
              <w:spacing w:beforeLines="0" w:afterLines="0" w:line="240" w:lineRule="auto"/>
              <w:jc w:val="left"/>
              <w:rPr>
                <w:rFonts w:ascii="Times New Roman"/>
                <w:snapToGrid w:val="0"/>
                <w:color w:val="000000"/>
                <w:spacing w:val="-6"/>
                <w:kern w:val="21"/>
                <w:szCs w:val="21"/>
              </w:rPr>
            </w:pPr>
            <w:r>
              <w:rPr>
                <w:rFonts w:ascii="Times New Roman"/>
                <w:snapToGrid w:val="0"/>
                <w:color w:val="000000"/>
                <w:spacing w:val="-6"/>
                <w:kern w:val="21"/>
                <w:szCs w:val="21"/>
              </w:rPr>
              <w:t>分类</w:t>
            </w:r>
          </w:p>
        </w:tc>
        <w:tc>
          <w:tcPr>
            <w:tcW w:w="1484" w:type="dxa"/>
            <w:tcMar>
              <w:left w:w="28" w:type="dxa"/>
              <w:right w:w="28" w:type="dxa"/>
            </w:tcMar>
            <w:vAlign w:val="center"/>
          </w:tcPr>
          <w:p>
            <w:pPr>
              <w:pStyle w:val="36"/>
              <w:spacing w:beforeLines="0" w:afterLines="0" w:line="240" w:lineRule="auto"/>
              <w:rPr>
                <w:rFonts w:ascii="Times New Roman"/>
                <w:snapToGrid w:val="0"/>
                <w:color w:val="000000"/>
                <w:spacing w:val="-6"/>
                <w:kern w:val="21"/>
                <w:szCs w:val="21"/>
              </w:rPr>
            </w:pPr>
            <w:r>
              <w:rPr>
                <w:rFonts w:ascii="Times New Roman"/>
                <w:snapToGrid w:val="0"/>
                <w:color w:val="000000"/>
                <w:spacing w:val="-6"/>
                <w:kern w:val="21"/>
                <w:szCs w:val="21"/>
              </w:rPr>
              <w:t>污染物名称</w:t>
            </w:r>
          </w:p>
        </w:tc>
        <w:tc>
          <w:tcPr>
            <w:tcW w:w="1781" w:type="dxa"/>
            <w:tcMar>
              <w:left w:w="28" w:type="dxa"/>
              <w:right w:w="28" w:type="dxa"/>
            </w:tcMar>
            <w:vAlign w:val="center"/>
          </w:tcPr>
          <w:p>
            <w:pPr>
              <w:pStyle w:val="36"/>
              <w:spacing w:beforeLines="0" w:afterLines="0" w:line="240" w:lineRule="auto"/>
              <w:rPr>
                <w:rFonts w:ascii="Times New Roman"/>
                <w:snapToGrid w:val="0"/>
                <w:color w:val="000000"/>
                <w:spacing w:val="-6"/>
                <w:kern w:val="21"/>
                <w:szCs w:val="21"/>
              </w:rPr>
            </w:pPr>
            <w:r>
              <w:rPr>
                <w:rFonts w:ascii="Times New Roman"/>
                <w:snapToGrid w:val="0"/>
                <w:color w:val="000000"/>
                <w:spacing w:val="-6"/>
                <w:kern w:val="21"/>
                <w:szCs w:val="21"/>
              </w:rPr>
              <w:t>现有工程</w:t>
            </w:r>
          </w:p>
          <w:p>
            <w:pPr>
              <w:pStyle w:val="36"/>
              <w:spacing w:beforeLines="0" w:afterLines="0" w:line="240" w:lineRule="auto"/>
              <w:rPr>
                <w:rFonts w:ascii="Times New Roman"/>
                <w:snapToGrid w:val="0"/>
                <w:color w:val="000000"/>
                <w:spacing w:val="-6"/>
                <w:kern w:val="21"/>
                <w:szCs w:val="21"/>
              </w:rPr>
            </w:pPr>
            <w:r>
              <w:rPr>
                <w:rFonts w:ascii="Times New Roman"/>
                <w:snapToGrid w:val="0"/>
                <w:color w:val="000000"/>
                <w:spacing w:val="-6"/>
                <w:kern w:val="21"/>
                <w:szCs w:val="21"/>
              </w:rPr>
              <w:t>排放量（固体废物产生量）</w:t>
            </w:r>
            <w:r>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1 \* GB3 \* MERGEFORMAT </w:instrText>
            </w:r>
            <w:r>
              <w:rPr>
                <w:rFonts w:ascii="Times New Roman"/>
                <w:snapToGrid w:val="0"/>
                <w:color w:val="000000"/>
                <w:spacing w:val="-6"/>
                <w:kern w:val="21"/>
                <w:szCs w:val="21"/>
              </w:rPr>
              <w:fldChar w:fldCharType="separate"/>
            </w:r>
            <w:r>
              <w:rPr>
                <w:rFonts w:hint="eastAsia" w:hAnsi="宋体" w:cs="宋体"/>
                <w:kern w:val="2"/>
                <w:szCs w:val="21"/>
              </w:rPr>
              <w:t>①</w:t>
            </w:r>
            <w:r>
              <w:rPr>
                <w:rFonts w:ascii="Times New Roman"/>
                <w:snapToGrid w:val="0"/>
                <w:color w:val="000000"/>
                <w:spacing w:val="-6"/>
                <w:kern w:val="21"/>
                <w:szCs w:val="21"/>
              </w:rPr>
              <w:fldChar w:fldCharType="end"/>
            </w:r>
          </w:p>
        </w:tc>
        <w:tc>
          <w:tcPr>
            <w:tcW w:w="1336" w:type="dxa"/>
            <w:tcMar>
              <w:left w:w="28" w:type="dxa"/>
              <w:right w:w="28" w:type="dxa"/>
            </w:tcMar>
            <w:vAlign w:val="center"/>
          </w:tcPr>
          <w:p>
            <w:pPr>
              <w:pStyle w:val="36"/>
              <w:spacing w:beforeLines="0" w:afterLines="0" w:line="240" w:lineRule="auto"/>
              <w:rPr>
                <w:rFonts w:ascii="Times New Roman"/>
                <w:snapToGrid w:val="0"/>
                <w:color w:val="000000"/>
                <w:spacing w:val="-6"/>
                <w:kern w:val="21"/>
                <w:szCs w:val="21"/>
              </w:rPr>
            </w:pPr>
            <w:r>
              <w:rPr>
                <w:rFonts w:ascii="Times New Roman"/>
                <w:snapToGrid w:val="0"/>
                <w:color w:val="000000"/>
                <w:spacing w:val="-6"/>
                <w:kern w:val="21"/>
                <w:szCs w:val="21"/>
              </w:rPr>
              <w:t>现有工程</w:t>
            </w:r>
          </w:p>
          <w:p>
            <w:pPr>
              <w:pStyle w:val="36"/>
              <w:spacing w:beforeLines="0" w:afterLines="0" w:line="240" w:lineRule="auto"/>
              <w:rPr>
                <w:rFonts w:ascii="Times New Roman"/>
                <w:snapToGrid w:val="0"/>
                <w:color w:val="000000"/>
                <w:spacing w:val="-6"/>
                <w:kern w:val="21"/>
                <w:szCs w:val="21"/>
              </w:rPr>
            </w:pPr>
            <w:r>
              <w:rPr>
                <w:rFonts w:ascii="Times New Roman"/>
                <w:snapToGrid w:val="0"/>
                <w:color w:val="000000"/>
                <w:spacing w:val="-6"/>
                <w:kern w:val="21"/>
                <w:szCs w:val="21"/>
              </w:rPr>
              <w:t>许可排放量</w:t>
            </w:r>
          </w:p>
          <w:p>
            <w:pPr>
              <w:pStyle w:val="36"/>
              <w:spacing w:beforeLines="0" w:afterLines="0" w:line="240" w:lineRule="auto"/>
              <w:rPr>
                <w:rFonts w:ascii="Times New Roman"/>
                <w:snapToGrid w:val="0"/>
                <w:color w:val="000000"/>
                <w:spacing w:val="-6"/>
                <w:kern w:val="21"/>
                <w:szCs w:val="21"/>
              </w:rPr>
            </w:pPr>
            <w:r>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2 \* GB3 \* MERGEFORMAT </w:instrText>
            </w:r>
            <w:r>
              <w:rPr>
                <w:rFonts w:ascii="Times New Roman"/>
                <w:snapToGrid w:val="0"/>
                <w:color w:val="000000"/>
                <w:spacing w:val="-6"/>
                <w:kern w:val="21"/>
                <w:szCs w:val="21"/>
              </w:rPr>
              <w:fldChar w:fldCharType="separate"/>
            </w:r>
            <w:r>
              <w:rPr>
                <w:rFonts w:hint="eastAsia" w:hAnsi="宋体" w:cs="宋体"/>
                <w:snapToGrid w:val="0"/>
                <w:color w:val="000000"/>
                <w:spacing w:val="-6"/>
                <w:kern w:val="21"/>
                <w:szCs w:val="21"/>
              </w:rPr>
              <w:t>②</w:t>
            </w:r>
            <w:r>
              <w:rPr>
                <w:rFonts w:ascii="Times New Roman"/>
                <w:snapToGrid w:val="0"/>
                <w:color w:val="000000"/>
                <w:spacing w:val="-6"/>
                <w:kern w:val="21"/>
                <w:szCs w:val="21"/>
              </w:rPr>
              <w:fldChar w:fldCharType="end"/>
            </w:r>
          </w:p>
        </w:tc>
        <w:tc>
          <w:tcPr>
            <w:tcW w:w="1781" w:type="dxa"/>
            <w:tcMar>
              <w:left w:w="28" w:type="dxa"/>
              <w:right w:w="28" w:type="dxa"/>
            </w:tcMar>
            <w:vAlign w:val="center"/>
          </w:tcPr>
          <w:p>
            <w:pPr>
              <w:pStyle w:val="36"/>
              <w:spacing w:beforeLines="0" w:afterLines="0" w:line="240" w:lineRule="auto"/>
              <w:rPr>
                <w:rFonts w:ascii="Times New Roman"/>
                <w:snapToGrid w:val="0"/>
                <w:color w:val="000000"/>
                <w:spacing w:val="-6"/>
                <w:kern w:val="21"/>
                <w:szCs w:val="21"/>
              </w:rPr>
            </w:pPr>
            <w:r>
              <w:rPr>
                <w:rFonts w:ascii="Times New Roman"/>
                <w:snapToGrid w:val="0"/>
                <w:color w:val="000000"/>
                <w:spacing w:val="-6"/>
                <w:kern w:val="21"/>
                <w:szCs w:val="21"/>
              </w:rPr>
              <w:t>在建工程</w:t>
            </w:r>
          </w:p>
          <w:p>
            <w:pPr>
              <w:pStyle w:val="36"/>
              <w:spacing w:beforeLines="0" w:afterLines="0" w:line="240" w:lineRule="auto"/>
              <w:rPr>
                <w:rFonts w:ascii="Times New Roman"/>
                <w:snapToGrid w:val="0"/>
                <w:color w:val="000000"/>
                <w:spacing w:val="-6"/>
                <w:kern w:val="21"/>
                <w:szCs w:val="21"/>
              </w:rPr>
            </w:pPr>
            <w:r>
              <w:rPr>
                <w:rFonts w:ascii="Times New Roman"/>
                <w:snapToGrid w:val="0"/>
                <w:color w:val="000000"/>
                <w:spacing w:val="-6"/>
                <w:kern w:val="21"/>
                <w:szCs w:val="21"/>
              </w:rPr>
              <w:t>排放量（固体废物产生量）</w:t>
            </w:r>
            <w:r>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3 \* GB3 \* MERGEFORMAT </w:instrText>
            </w:r>
            <w:r>
              <w:rPr>
                <w:rFonts w:ascii="Times New Roman"/>
                <w:snapToGrid w:val="0"/>
                <w:color w:val="000000"/>
                <w:spacing w:val="-6"/>
                <w:kern w:val="21"/>
                <w:szCs w:val="21"/>
              </w:rPr>
              <w:fldChar w:fldCharType="separate"/>
            </w:r>
            <w:r>
              <w:rPr>
                <w:rFonts w:hint="eastAsia" w:hAnsi="宋体" w:cs="宋体"/>
                <w:kern w:val="2"/>
                <w:szCs w:val="21"/>
              </w:rPr>
              <w:t>③</w:t>
            </w:r>
            <w:r>
              <w:rPr>
                <w:rFonts w:ascii="Times New Roman"/>
                <w:snapToGrid w:val="0"/>
                <w:color w:val="000000"/>
                <w:spacing w:val="-6"/>
                <w:kern w:val="21"/>
                <w:szCs w:val="21"/>
              </w:rPr>
              <w:fldChar w:fldCharType="end"/>
            </w:r>
          </w:p>
        </w:tc>
        <w:tc>
          <w:tcPr>
            <w:tcW w:w="1632" w:type="dxa"/>
            <w:tcMar>
              <w:left w:w="28" w:type="dxa"/>
              <w:right w:w="28" w:type="dxa"/>
            </w:tcMar>
            <w:vAlign w:val="center"/>
          </w:tcPr>
          <w:p>
            <w:pPr>
              <w:pStyle w:val="36"/>
              <w:spacing w:beforeLines="0" w:afterLines="0" w:line="240" w:lineRule="auto"/>
              <w:rPr>
                <w:rFonts w:ascii="Times New Roman"/>
                <w:snapToGrid w:val="0"/>
                <w:color w:val="000000"/>
                <w:spacing w:val="-6"/>
                <w:kern w:val="21"/>
                <w:szCs w:val="21"/>
              </w:rPr>
            </w:pPr>
            <w:r>
              <w:rPr>
                <w:rFonts w:ascii="Times New Roman"/>
                <w:snapToGrid w:val="0"/>
                <w:color w:val="000000"/>
                <w:spacing w:val="-6"/>
                <w:kern w:val="21"/>
                <w:szCs w:val="21"/>
              </w:rPr>
              <w:t>本项目</w:t>
            </w:r>
          </w:p>
          <w:p>
            <w:pPr>
              <w:pStyle w:val="36"/>
              <w:spacing w:beforeLines="0" w:afterLines="0" w:line="240" w:lineRule="auto"/>
              <w:rPr>
                <w:rFonts w:ascii="Times New Roman"/>
                <w:snapToGrid w:val="0"/>
                <w:color w:val="000000"/>
                <w:spacing w:val="-6"/>
                <w:kern w:val="21"/>
                <w:szCs w:val="21"/>
              </w:rPr>
            </w:pPr>
            <w:r>
              <w:rPr>
                <w:rFonts w:ascii="Times New Roman"/>
                <w:snapToGrid w:val="0"/>
                <w:color w:val="000000"/>
                <w:spacing w:val="-6"/>
                <w:kern w:val="21"/>
                <w:szCs w:val="21"/>
              </w:rPr>
              <w:t>排放量（固体废物产生量）</w:t>
            </w:r>
            <w:r>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4 \* GB3 \* MERGEFORMAT </w:instrText>
            </w:r>
            <w:r>
              <w:rPr>
                <w:rFonts w:ascii="Times New Roman"/>
                <w:snapToGrid w:val="0"/>
                <w:color w:val="000000"/>
                <w:spacing w:val="-6"/>
                <w:kern w:val="21"/>
                <w:szCs w:val="21"/>
              </w:rPr>
              <w:fldChar w:fldCharType="separate"/>
            </w:r>
            <w:r>
              <w:rPr>
                <w:rFonts w:hint="eastAsia" w:hAnsi="宋体" w:cs="宋体"/>
                <w:kern w:val="2"/>
                <w:szCs w:val="21"/>
              </w:rPr>
              <w:t>④</w:t>
            </w:r>
            <w:r>
              <w:rPr>
                <w:rFonts w:ascii="Times New Roman"/>
                <w:snapToGrid w:val="0"/>
                <w:color w:val="000000"/>
                <w:spacing w:val="-6"/>
                <w:kern w:val="21"/>
                <w:szCs w:val="21"/>
              </w:rPr>
              <w:fldChar w:fldCharType="end"/>
            </w:r>
          </w:p>
        </w:tc>
        <w:tc>
          <w:tcPr>
            <w:tcW w:w="1532" w:type="dxa"/>
            <w:tcMar>
              <w:left w:w="28" w:type="dxa"/>
              <w:right w:w="28" w:type="dxa"/>
            </w:tcMar>
            <w:vAlign w:val="center"/>
          </w:tcPr>
          <w:p>
            <w:pPr>
              <w:pStyle w:val="36"/>
              <w:spacing w:beforeLines="0" w:afterLines="0" w:line="240" w:lineRule="auto"/>
              <w:rPr>
                <w:rFonts w:ascii="Times New Roman"/>
                <w:snapToGrid w:val="0"/>
                <w:color w:val="000000"/>
                <w:spacing w:val="-16"/>
                <w:kern w:val="21"/>
                <w:szCs w:val="21"/>
              </w:rPr>
            </w:pPr>
            <w:r>
              <w:rPr>
                <w:rFonts w:ascii="Times New Roman"/>
                <w:snapToGrid w:val="0"/>
                <w:color w:val="000000"/>
                <w:spacing w:val="-16"/>
                <w:kern w:val="21"/>
                <w:szCs w:val="21"/>
              </w:rPr>
              <w:t>以新带老削减量</w:t>
            </w:r>
          </w:p>
          <w:p>
            <w:pPr>
              <w:pStyle w:val="36"/>
              <w:spacing w:beforeLines="0" w:afterLines="0" w:line="240" w:lineRule="auto"/>
              <w:rPr>
                <w:rFonts w:ascii="Times New Roman"/>
                <w:snapToGrid w:val="0"/>
                <w:color w:val="000000"/>
                <w:spacing w:val="-16"/>
                <w:kern w:val="21"/>
                <w:szCs w:val="21"/>
              </w:rPr>
            </w:pPr>
            <w:r>
              <w:rPr>
                <w:rFonts w:ascii="Times New Roman"/>
                <w:snapToGrid w:val="0"/>
                <w:color w:val="000000"/>
                <w:spacing w:val="-16"/>
                <w:kern w:val="21"/>
                <w:szCs w:val="21"/>
              </w:rPr>
              <w:t>（新建项目不填）</w:t>
            </w:r>
            <w:r>
              <w:rPr>
                <w:rFonts w:ascii="Times New Roman"/>
                <w:snapToGrid w:val="0"/>
                <w:color w:val="000000"/>
                <w:spacing w:val="-16"/>
                <w:kern w:val="21"/>
                <w:szCs w:val="21"/>
              </w:rPr>
              <w:fldChar w:fldCharType="begin"/>
            </w:r>
            <w:r>
              <w:rPr>
                <w:rFonts w:ascii="Times New Roman"/>
                <w:snapToGrid w:val="0"/>
                <w:color w:val="000000"/>
                <w:spacing w:val="-16"/>
                <w:kern w:val="21"/>
                <w:szCs w:val="21"/>
              </w:rPr>
              <w:instrText xml:space="preserve"> = 5 \* GB3 \* MERGEFORMAT </w:instrText>
            </w:r>
            <w:r>
              <w:rPr>
                <w:rFonts w:ascii="Times New Roman"/>
                <w:snapToGrid w:val="0"/>
                <w:color w:val="000000"/>
                <w:spacing w:val="-16"/>
                <w:kern w:val="21"/>
                <w:szCs w:val="21"/>
              </w:rPr>
              <w:fldChar w:fldCharType="separate"/>
            </w:r>
            <w:r>
              <w:rPr>
                <w:rFonts w:hint="eastAsia" w:hAnsi="宋体" w:cs="宋体"/>
                <w:kern w:val="2"/>
                <w:szCs w:val="21"/>
              </w:rPr>
              <w:t>⑤</w:t>
            </w:r>
            <w:r>
              <w:rPr>
                <w:rFonts w:ascii="Times New Roman"/>
                <w:snapToGrid w:val="0"/>
                <w:color w:val="000000"/>
                <w:spacing w:val="-16"/>
                <w:kern w:val="21"/>
                <w:szCs w:val="21"/>
              </w:rPr>
              <w:fldChar w:fldCharType="end"/>
            </w:r>
          </w:p>
        </w:tc>
        <w:tc>
          <w:tcPr>
            <w:tcW w:w="1800" w:type="dxa"/>
            <w:tcMar>
              <w:left w:w="28" w:type="dxa"/>
              <w:right w:w="28" w:type="dxa"/>
            </w:tcMar>
            <w:vAlign w:val="center"/>
          </w:tcPr>
          <w:p>
            <w:pPr>
              <w:pStyle w:val="36"/>
              <w:spacing w:beforeLines="0" w:afterLines="0" w:line="240" w:lineRule="auto"/>
              <w:rPr>
                <w:rFonts w:ascii="Times New Roman"/>
                <w:snapToGrid w:val="0"/>
                <w:color w:val="000000"/>
                <w:spacing w:val="-16"/>
                <w:kern w:val="21"/>
                <w:szCs w:val="21"/>
              </w:rPr>
            </w:pPr>
            <w:r>
              <w:rPr>
                <w:rFonts w:ascii="Times New Roman"/>
                <w:snapToGrid w:val="0"/>
                <w:color w:val="000000"/>
                <w:spacing w:val="-16"/>
                <w:kern w:val="21"/>
                <w:szCs w:val="21"/>
              </w:rPr>
              <w:t>本项目建成后</w:t>
            </w:r>
          </w:p>
          <w:p>
            <w:pPr>
              <w:pStyle w:val="36"/>
              <w:spacing w:beforeLines="0" w:afterLines="0" w:line="240" w:lineRule="auto"/>
              <w:rPr>
                <w:rFonts w:ascii="Times New Roman"/>
                <w:snapToGrid w:val="0"/>
                <w:color w:val="000000"/>
                <w:spacing w:val="-16"/>
                <w:kern w:val="21"/>
                <w:szCs w:val="21"/>
              </w:rPr>
            </w:pPr>
            <w:r>
              <w:rPr>
                <w:rFonts w:ascii="Times New Roman"/>
                <w:snapToGrid w:val="0"/>
                <w:color w:val="000000"/>
                <w:spacing w:val="-16"/>
                <w:kern w:val="21"/>
                <w:szCs w:val="21"/>
              </w:rPr>
              <w:t>全厂排放量（固体废物产生量）</w:t>
            </w:r>
            <w:r>
              <w:rPr>
                <w:rFonts w:ascii="Times New Roman"/>
                <w:snapToGrid w:val="0"/>
                <w:color w:val="000000"/>
                <w:spacing w:val="-16"/>
                <w:kern w:val="21"/>
                <w:szCs w:val="21"/>
              </w:rPr>
              <w:fldChar w:fldCharType="begin"/>
            </w:r>
            <w:r>
              <w:rPr>
                <w:rFonts w:ascii="Times New Roman"/>
                <w:snapToGrid w:val="0"/>
                <w:color w:val="000000"/>
                <w:spacing w:val="-16"/>
                <w:kern w:val="21"/>
                <w:szCs w:val="21"/>
              </w:rPr>
              <w:instrText xml:space="preserve"> = 6 \* GB3 \* MERGEFORMAT </w:instrText>
            </w:r>
            <w:r>
              <w:rPr>
                <w:rFonts w:ascii="Times New Roman"/>
                <w:snapToGrid w:val="0"/>
                <w:color w:val="000000"/>
                <w:spacing w:val="-16"/>
                <w:kern w:val="21"/>
                <w:szCs w:val="21"/>
              </w:rPr>
              <w:fldChar w:fldCharType="separate"/>
            </w:r>
            <w:r>
              <w:rPr>
                <w:rFonts w:hint="eastAsia" w:hAnsi="宋体" w:cs="宋体"/>
                <w:kern w:val="2"/>
                <w:szCs w:val="21"/>
              </w:rPr>
              <w:t>⑥</w:t>
            </w:r>
            <w:r>
              <w:rPr>
                <w:rFonts w:ascii="Times New Roman"/>
                <w:snapToGrid w:val="0"/>
                <w:color w:val="000000"/>
                <w:spacing w:val="-16"/>
                <w:kern w:val="21"/>
                <w:szCs w:val="21"/>
              </w:rPr>
              <w:fldChar w:fldCharType="end"/>
            </w:r>
          </w:p>
        </w:tc>
        <w:tc>
          <w:tcPr>
            <w:tcW w:w="1428" w:type="dxa"/>
            <w:tcMar>
              <w:left w:w="28" w:type="dxa"/>
              <w:right w:w="28" w:type="dxa"/>
            </w:tcMar>
            <w:vAlign w:val="center"/>
          </w:tcPr>
          <w:p>
            <w:pPr>
              <w:pStyle w:val="36"/>
              <w:spacing w:beforeLines="0" w:afterLines="0" w:line="240" w:lineRule="auto"/>
              <w:rPr>
                <w:rFonts w:ascii="Times New Roman"/>
                <w:snapToGrid w:val="0"/>
                <w:color w:val="000000"/>
                <w:spacing w:val="-6"/>
                <w:kern w:val="21"/>
                <w:szCs w:val="21"/>
              </w:rPr>
            </w:pPr>
            <w:r>
              <w:rPr>
                <w:rFonts w:ascii="Times New Roman"/>
                <w:snapToGrid w:val="0"/>
                <w:color w:val="000000"/>
                <w:spacing w:val="-6"/>
                <w:kern w:val="21"/>
                <w:szCs w:val="21"/>
              </w:rPr>
              <w:t>变化量</w:t>
            </w:r>
          </w:p>
          <w:p>
            <w:pPr>
              <w:pStyle w:val="36"/>
              <w:spacing w:beforeLines="0" w:afterLines="0" w:line="240" w:lineRule="auto"/>
              <w:rPr>
                <w:rFonts w:ascii="Times New Roman"/>
                <w:snapToGrid w:val="0"/>
                <w:color w:val="000000"/>
                <w:spacing w:val="-6"/>
                <w:kern w:val="21"/>
                <w:szCs w:val="21"/>
              </w:rPr>
            </w:pPr>
            <w:r>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7 \* GB3 \* MERGEFORMAT </w:instrText>
            </w:r>
            <w:r>
              <w:rPr>
                <w:rFonts w:ascii="Times New Roman"/>
                <w:snapToGrid w:val="0"/>
                <w:color w:val="000000"/>
                <w:spacing w:val="-6"/>
                <w:kern w:val="21"/>
                <w:szCs w:val="21"/>
              </w:rPr>
              <w:fldChar w:fldCharType="separate"/>
            </w:r>
            <w:r>
              <w:rPr>
                <w:rFonts w:hint="eastAsia" w:hAnsi="宋体" w:cs="宋体"/>
                <w:kern w:val="2"/>
                <w:szCs w:val="21"/>
              </w:rPr>
              <w:t>⑦</w:t>
            </w:r>
            <w:r>
              <w:rPr>
                <w:rFonts w:ascii="Times New Roman"/>
                <w:snapToGrid w:val="0"/>
                <w:color w:val="000000"/>
                <w:spacing w:val="-6"/>
                <w:kern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663" w:type="dxa"/>
            <w:vAlign w:val="center"/>
          </w:tcPr>
          <w:p>
            <w:pPr>
              <w:pStyle w:val="36"/>
              <w:spacing w:beforeLines="0" w:afterLines="0" w:line="240" w:lineRule="auto"/>
              <w:rPr>
                <w:rFonts w:ascii="Times New Roman"/>
                <w:snapToGrid w:val="0"/>
                <w:color w:val="000000"/>
                <w:kern w:val="21"/>
                <w:szCs w:val="21"/>
              </w:rPr>
            </w:pPr>
            <w:r>
              <w:rPr>
                <w:rFonts w:ascii="Times New Roman"/>
                <w:snapToGrid w:val="0"/>
                <w:color w:val="000000"/>
                <w:kern w:val="21"/>
                <w:szCs w:val="21"/>
              </w:rPr>
              <w:t>废气</w:t>
            </w:r>
          </w:p>
        </w:tc>
        <w:tc>
          <w:tcPr>
            <w:tcW w:w="1484" w:type="dxa"/>
            <w:vAlign w:val="center"/>
          </w:tcPr>
          <w:p>
            <w:pPr>
              <w:pStyle w:val="58"/>
              <w:widowControl w:val="0"/>
              <w:spacing w:before="0" w:beforeLines="0" w:line="240" w:lineRule="auto"/>
              <w:ind w:right="0"/>
            </w:pPr>
            <w:r>
              <w:t>颗粒物</w:t>
            </w:r>
          </w:p>
        </w:tc>
        <w:tc>
          <w:tcPr>
            <w:tcW w:w="1781" w:type="dxa"/>
            <w:vAlign w:val="center"/>
          </w:tcPr>
          <w:p>
            <w:pPr>
              <w:jc w:val="center"/>
              <w:rPr>
                <w:snapToGrid w:val="0"/>
                <w:color w:val="000000"/>
                <w:kern w:val="21"/>
                <w:szCs w:val="21"/>
              </w:rPr>
            </w:pPr>
          </w:p>
        </w:tc>
        <w:tc>
          <w:tcPr>
            <w:tcW w:w="1336" w:type="dxa"/>
            <w:vAlign w:val="center"/>
          </w:tcPr>
          <w:p>
            <w:pPr>
              <w:jc w:val="center"/>
              <w:rPr>
                <w:snapToGrid w:val="0"/>
                <w:color w:val="000000"/>
                <w:kern w:val="21"/>
                <w:szCs w:val="21"/>
              </w:rPr>
            </w:pPr>
          </w:p>
        </w:tc>
        <w:tc>
          <w:tcPr>
            <w:tcW w:w="1781" w:type="dxa"/>
            <w:vAlign w:val="center"/>
          </w:tcPr>
          <w:p>
            <w:pPr>
              <w:jc w:val="center"/>
              <w:rPr>
                <w:snapToGrid w:val="0"/>
                <w:color w:val="000000"/>
                <w:kern w:val="21"/>
                <w:szCs w:val="21"/>
              </w:rPr>
            </w:pPr>
          </w:p>
        </w:tc>
        <w:tc>
          <w:tcPr>
            <w:tcW w:w="1632" w:type="dxa"/>
            <w:vAlign w:val="center"/>
          </w:tcPr>
          <w:p>
            <w:pPr>
              <w:pStyle w:val="36"/>
              <w:spacing w:beforeLines="0" w:afterLines="0" w:line="240" w:lineRule="auto"/>
              <w:rPr>
                <w:rFonts w:ascii="Times New Roman"/>
                <w:snapToGrid w:val="0"/>
                <w:color w:val="000000"/>
                <w:kern w:val="21"/>
                <w:szCs w:val="21"/>
              </w:rPr>
            </w:pPr>
            <w:r>
              <w:rPr>
                <w:rFonts w:ascii="Times New Roman"/>
                <w:snapToGrid w:val="0"/>
                <w:color w:val="000000"/>
                <w:kern w:val="21"/>
                <w:szCs w:val="21"/>
              </w:rPr>
              <w:t>0</w:t>
            </w:r>
          </w:p>
        </w:tc>
        <w:tc>
          <w:tcPr>
            <w:tcW w:w="1532" w:type="dxa"/>
            <w:vAlign w:val="center"/>
          </w:tcPr>
          <w:p>
            <w:pPr>
              <w:jc w:val="center"/>
              <w:rPr>
                <w:snapToGrid w:val="0"/>
                <w:color w:val="000000"/>
                <w:kern w:val="21"/>
                <w:szCs w:val="21"/>
              </w:rPr>
            </w:pPr>
          </w:p>
        </w:tc>
        <w:tc>
          <w:tcPr>
            <w:tcW w:w="1800" w:type="dxa"/>
            <w:vAlign w:val="center"/>
          </w:tcPr>
          <w:p>
            <w:pPr>
              <w:pStyle w:val="36"/>
              <w:spacing w:beforeLines="0" w:afterLines="0" w:line="240" w:lineRule="auto"/>
              <w:rPr>
                <w:rFonts w:ascii="Times New Roman"/>
                <w:snapToGrid w:val="0"/>
                <w:color w:val="000000"/>
                <w:kern w:val="21"/>
                <w:szCs w:val="21"/>
              </w:rPr>
            </w:pPr>
            <w:r>
              <w:rPr>
                <w:rFonts w:ascii="Times New Roman"/>
                <w:snapToGrid w:val="0"/>
                <w:color w:val="000000"/>
                <w:kern w:val="21"/>
                <w:szCs w:val="21"/>
              </w:rPr>
              <w:t>0</w:t>
            </w:r>
          </w:p>
        </w:tc>
        <w:tc>
          <w:tcPr>
            <w:tcW w:w="1428" w:type="dxa"/>
            <w:vAlign w:val="center"/>
          </w:tcPr>
          <w:p>
            <w:pPr>
              <w:pStyle w:val="36"/>
              <w:spacing w:beforeLines="0" w:afterLines="0" w:line="240" w:lineRule="auto"/>
              <w:rPr>
                <w:rFonts w:ascii="Times New Roman"/>
                <w:snapToGrid w:val="0"/>
                <w:color w:val="000000"/>
                <w:kern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663" w:type="dxa"/>
            <w:vMerge w:val="restart"/>
            <w:vAlign w:val="center"/>
          </w:tcPr>
          <w:p>
            <w:pPr>
              <w:pStyle w:val="36"/>
              <w:spacing w:beforeLines="0" w:afterLines="0" w:line="240" w:lineRule="auto"/>
              <w:rPr>
                <w:rFonts w:ascii="Times New Roman"/>
                <w:snapToGrid w:val="0"/>
                <w:color w:val="000000"/>
                <w:kern w:val="21"/>
                <w:szCs w:val="21"/>
              </w:rPr>
            </w:pPr>
            <w:r>
              <w:rPr>
                <w:rFonts w:ascii="Times New Roman"/>
                <w:snapToGrid w:val="0"/>
                <w:color w:val="000000"/>
                <w:kern w:val="21"/>
                <w:szCs w:val="21"/>
              </w:rPr>
              <w:t>废水</w:t>
            </w:r>
          </w:p>
        </w:tc>
        <w:tc>
          <w:tcPr>
            <w:tcW w:w="1484" w:type="dxa"/>
            <w:vAlign w:val="center"/>
          </w:tcPr>
          <w:p>
            <w:pPr>
              <w:jc w:val="center"/>
              <w:rPr>
                <w:szCs w:val="21"/>
              </w:rPr>
            </w:pPr>
            <w:r>
              <w:rPr>
                <w:szCs w:val="21"/>
              </w:rPr>
              <w:t>CODcr</w:t>
            </w:r>
          </w:p>
        </w:tc>
        <w:tc>
          <w:tcPr>
            <w:tcW w:w="1781" w:type="dxa"/>
            <w:vAlign w:val="center"/>
          </w:tcPr>
          <w:p>
            <w:pPr>
              <w:jc w:val="center"/>
              <w:rPr>
                <w:snapToGrid w:val="0"/>
                <w:color w:val="000000"/>
                <w:kern w:val="21"/>
                <w:szCs w:val="21"/>
              </w:rPr>
            </w:pPr>
          </w:p>
        </w:tc>
        <w:tc>
          <w:tcPr>
            <w:tcW w:w="1336" w:type="dxa"/>
            <w:vAlign w:val="center"/>
          </w:tcPr>
          <w:p>
            <w:pPr>
              <w:jc w:val="center"/>
              <w:rPr>
                <w:snapToGrid w:val="0"/>
                <w:color w:val="000000"/>
                <w:kern w:val="21"/>
                <w:szCs w:val="21"/>
              </w:rPr>
            </w:pPr>
          </w:p>
        </w:tc>
        <w:tc>
          <w:tcPr>
            <w:tcW w:w="1781" w:type="dxa"/>
            <w:vAlign w:val="center"/>
          </w:tcPr>
          <w:p>
            <w:pPr>
              <w:jc w:val="center"/>
              <w:rPr>
                <w:snapToGrid w:val="0"/>
                <w:color w:val="000000"/>
                <w:kern w:val="21"/>
                <w:szCs w:val="21"/>
              </w:rPr>
            </w:pPr>
          </w:p>
        </w:tc>
        <w:tc>
          <w:tcPr>
            <w:tcW w:w="1632" w:type="dxa"/>
            <w:vAlign w:val="center"/>
          </w:tcPr>
          <w:p>
            <w:pPr>
              <w:jc w:val="center"/>
              <w:rPr>
                <w:snapToGrid w:val="0"/>
                <w:color w:val="000000"/>
                <w:kern w:val="21"/>
                <w:szCs w:val="21"/>
              </w:rPr>
            </w:pPr>
            <w:r>
              <w:rPr>
                <w:snapToGrid w:val="0"/>
                <w:color w:val="000000"/>
                <w:kern w:val="21"/>
                <w:szCs w:val="21"/>
              </w:rPr>
              <w:t>0</w:t>
            </w:r>
          </w:p>
        </w:tc>
        <w:tc>
          <w:tcPr>
            <w:tcW w:w="1532" w:type="dxa"/>
            <w:vAlign w:val="center"/>
          </w:tcPr>
          <w:p>
            <w:pPr>
              <w:jc w:val="center"/>
              <w:rPr>
                <w:snapToGrid w:val="0"/>
                <w:color w:val="000000"/>
                <w:kern w:val="21"/>
                <w:szCs w:val="21"/>
              </w:rPr>
            </w:pPr>
          </w:p>
        </w:tc>
        <w:tc>
          <w:tcPr>
            <w:tcW w:w="1800" w:type="dxa"/>
            <w:vAlign w:val="center"/>
          </w:tcPr>
          <w:p>
            <w:pPr>
              <w:jc w:val="center"/>
              <w:rPr>
                <w:snapToGrid w:val="0"/>
                <w:color w:val="000000"/>
                <w:kern w:val="21"/>
                <w:szCs w:val="21"/>
              </w:rPr>
            </w:pPr>
            <w:r>
              <w:rPr>
                <w:snapToGrid w:val="0"/>
                <w:color w:val="000000"/>
                <w:kern w:val="21"/>
                <w:szCs w:val="21"/>
              </w:rPr>
              <w:t>0</w:t>
            </w:r>
          </w:p>
        </w:tc>
        <w:tc>
          <w:tcPr>
            <w:tcW w:w="1428" w:type="dxa"/>
            <w:vAlign w:val="center"/>
          </w:tcPr>
          <w:p>
            <w:pPr>
              <w:jc w:val="center"/>
              <w:rPr>
                <w:snapToGrid w:val="0"/>
                <w:color w:val="000000"/>
                <w:kern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663" w:type="dxa"/>
            <w:vMerge w:val="continue"/>
            <w:vAlign w:val="center"/>
          </w:tcPr>
          <w:p>
            <w:pPr>
              <w:pStyle w:val="36"/>
              <w:spacing w:beforeLines="0" w:afterLines="0" w:line="240" w:lineRule="auto"/>
              <w:rPr>
                <w:rFonts w:ascii="Times New Roman"/>
                <w:snapToGrid w:val="0"/>
                <w:color w:val="000000"/>
                <w:kern w:val="21"/>
                <w:szCs w:val="21"/>
              </w:rPr>
            </w:pPr>
          </w:p>
        </w:tc>
        <w:tc>
          <w:tcPr>
            <w:tcW w:w="1484" w:type="dxa"/>
            <w:vAlign w:val="center"/>
          </w:tcPr>
          <w:p>
            <w:pPr>
              <w:jc w:val="center"/>
              <w:rPr>
                <w:szCs w:val="21"/>
              </w:rPr>
            </w:pPr>
            <w:r>
              <w:rPr>
                <w:szCs w:val="21"/>
              </w:rPr>
              <w:t>SS</w:t>
            </w:r>
          </w:p>
        </w:tc>
        <w:tc>
          <w:tcPr>
            <w:tcW w:w="1781" w:type="dxa"/>
            <w:vAlign w:val="center"/>
          </w:tcPr>
          <w:p>
            <w:pPr>
              <w:jc w:val="center"/>
              <w:rPr>
                <w:snapToGrid w:val="0"/>
                <w:color w:val="000000"/>
                <w:kern w:val="21"/>
                <w:szCs w:val="21"/>
              </w:rPr>
            </w:pPr>
          </w:p>
        </w:tc>
        <w:tc>
          <w:tcPr>
            <w:tcW w:w="1336" w:type="dxa"/>
            <w:vAlign w:val="center"/>
          </w:tcPr>
          <w:p>
            <w:pPr>
              <w:jc w:val="center"/>
              <w:rPr>
                <w:snapToGrid w:val="0"/>
                <w:color w:val="000000"/>
                <w:kern w:val="21"/>
                <w:szCs w:val="21"/>
              </w:rPr>
            </w:pPr>
          </w:p>
        </w:tc>
        <w:tc>
          <w:tcPr>
            <w:tcW w:w="1781" w:type="dxa"/>
            <w:vAlign w:val="center"/>
          </w:tcPr>
          <w:p>
            <w:pPr>
              <w:jc w:val="center"/>
              <w:rPr>
                <w:snapToGrid w:val="0"/>
                <w:color w:val="000000"/>
                <w:kern w:val="21"/>
                <w:szCs w:val="21"/>
              </w:rPr>
            </w:pPr>
          </w:p>
        </w:tc>
        <w:tc>
          <w:tcPr>
            <w:tcW w:w="1632" w:type="dxa"/>
            <w:vAlign w:val="center"/>
          </w:tcPr>
          <w:p>
            <w:pPr>
              <w:jc w:val="center"/>
              <w:rPr>
                <w:snapToGrid w:val="0"/>
                <w:color w:val="000000"/>
                <w:kern w:val="21"/>
                <w:szCs w:val="21"/>
              </w:rPr>
            </w:pPr>
            <w:r>
              <w:rPr>
                <w:snapToGrid w:val="0"/>
                <w:color w:val="000000"/>
                <w:kern w:val="21"/>
                <w:szCs w:val="21"/>
              </w:rPr>
              <w:t>0</w:t>
            </w:r>
          </w:p>
        </w:tc>
        <w:tc>
          <w:tcPr>
            <w:tcW w:w="1532" w:type="dxa"/>
            <w:vAlign w:val="center"/>
          </w:tcPr>
          <w:p>
            <w:pPr>
              <w:jc w:val="center"/>
              <w:rPr>
                <w:snapToGrid w:val="0"/>
                <w:color w:val="000000"/>
                <w:kern w:val="21"/>
                <w:szCs w:val="21"/>
              </w:rPr>
            </w:pPr>
          </w:p>
        </w:tc>
        <w:tc>
          <w:tcPr>
            <w:tcW w:w="1800" w:type="dxa"/>
            <w:vAlign w:val="center"/>
          </w:tcPr>
          <w:p>
            <w:pPr>
              <w:jc w:val="center"/>
              <w:rPr>
                <w:snapToGrid w:val="0"/>
                <w:color w:val="000000"/>
                <w:kern w:val="21"/>
                <w:szCs w:val="21"/>
              </w:rPr>
            </w:pPr>
            <w:r>
              <w:rPr>
                <w:snapToGrid w:val="0"/>
                <w:color w:val="000000"/>
                <w:kern w:val="21"/>
                <w:szCs w:val="21"/>
              </w:rPr>
              <w:t>0</w:t>
            </w:r>
          </w:p>
        </w:tc>
        <w:tc>
          <w:tcPr>
            <w:tcW w:w="1428" w:type="dxa"/>
            <w:vAlign w:val="center"/>
          </w:tcPr>
          <w:p>
            <w:pPr>
              <w:jc w:val="center"/>
              <w:rPr>
                <w:snapToGrid w:val="0"/>
                <w:color w:val="000000"/>
                <w:kern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663" w:type="dxa"/>
            <w:vMerge w:val="continue"/>
            <w:vAlign w:val="center"/>
          </w:tcPr>
          <w:p>
            <w:pPr>
              <w:pStyle w:val="36"/>
              <w:spacing w:beforeLines="0" w:afterLines="0" w:line="240" w:lineRule="auto"/>
              <w:rPr>
                <w:rFonts w:ascii="Times New Roman"/>
                <w:snapToGrid w:val="0"/>
                <w:color w:val="000000"/>
                <w:kern w:val="21"/>
                <w:szCs w:val="21"/>
              </w:rPr>
            </w:pPr>
          </w:p>
        </w:tc>
        <w:tc>
          <w:tcPr>
            <w:tcW w:w="1484" w:type="dxa"/>
            <w:vAlign w:val="center"/>
          </w:tcPr>
          <w:p>
            <w:pPr>
              <w:jc w:val="center"/>
              <w:rPr>
                <w:szCs w:val="21"/>
              </w:rPr>
            </w:pPr>
            <w:r>
              <w:rPr>
                <w:szCs w:val="21"/>
              </w:rPr>
              <w:t>BOD</w:t>
            </w:r>
            <w:r>
              <w:rPr>
                <w:szCs w:val="21"/>
                <w:vertAlign w:val="subscript"/>
              </w:rPr>
              <w:t>5</w:t>
            </w:r>
          </w:p>
        </w:tc>
        <w:tc>
          <w:tcPr>
            <w:tcW w:w="1781" w:type="dxa"/>
            <w:vAlign w:val="center"/>
          </w:tcPr>
          <w:p>
            <w:pPr>
              <w:jc w:val="center"/>
              <w:rPr>
                <w:snapToGrid w:val="0"/>
                <w:color w:val="000000"/>
                <w:kern w:val="21"/>
                <w:szCs w:val="21"/>
              </w:rPr>
            </w:pPr>
          </w:p>
        </w:tc>
        <w:tc>
          <w:tcPr>
            <w:tcW w:w="1336" w:type="dxa"/>
            <w:vAlign w:val="center"/>
          </w:tcPr>
          <w:p>
            <w:pPr>
              <w:jc w:val="center"/>
              <w:rPr>
                <w:snapToGrid w:val="0"/>
                <w:color w:val="000000"/>
                <w:kern w:val="21"/>
                <w:szCs w:val="21"/>
              </w:rPr>
            </w:pPr>
          </w:p>
        </w:tc>
        <w:tc>
          <w:tcPr>
            <w:tcW w:w="1781" w:type="dxa"/>
            <w:vAlign w:val="center"/>
          </w:tcPr>
          <w:p>
            <w:pPr>
              <w:jc w:val="center"/>
              <w:rPr>
                <w:snapToGrid w:val="0"/>
                <w:color w:val="000000"/>
                <w:kern w:val="21"/>
                <w:szCs w:val="21"/>
              </w:rPr>
            </w:pPr>
          </w:p>
        </w:tc>
        <w:tc>
          <w:tcPr>
            <w:tcW w:w="1632" w:type="dxa"/>
            <w:vAlign w:val="center"/>
          </w:tcPr>
          <w:p>
            <w:pPr>
              <w:jc w:val="center"/>
              <w:rPr>
                <w:snapToGrid w:val="0"/>
                <w:color w:val="000000"/>
                <w:kern w:val="21"/>
                <w:szCs w:val="21"/>
              </w:rPr>
            </w:pPr>
            <w:r>
              <w:rPr>
                <w:snapToGrid w:val="0"/>
                <w:color w:val="000000"/>
                <w:kern w:val="21"/>
                <w:szCs w:val="21"/>
              </w:rPr>
              <w:t>0</w:t>
            </w:r>
          </w:p>
        </w:tc>
        <w:tc>
          <w:tcPr>
            <w:tcW w:w="1532" w:type="dxa"/>
            <w:vAlign w:val="center"/>
          </w:tcPr>
          <w:p>
            <w:pPr>
              <w:jc w:val="center"/>
              <w:rPr>
                <w:snapToGrid w:val="0"/>
                <w:color w:val="000000"/>
                <w:kern w:val="21"/>
                <w:szCs w:val="21"/>
              </w:rPr>
            </w:pPr>
          </w:p>
        </w:tc>
        <w:tc>
          <w:tcPr>
            <w:tcW w:w="1800" w:type="dxa"/>
            <w:vAlign w:val="center"/>
          </w:tcPr>
          <w:p>
            <w:pPr>
              <w:jc w:val="center"/>
              <w:rPr>
                <w:snapToGrid w:val="0"/>
                <w:color w:val="000000"/>
                <w:kern w:val="21"/>
                <w:szCs w:val="21"/>
              </w:rPr>
            </w:pPr>
            <w:r>
              <w:rPr>
                <w:snapToGrid w:val="0"/>
                <w:color w:val="000000"/>
                <w:kern w:val="21"/>
                <w:szCs w:val="21"/>
              </w:rPr>
              <w:t>0</w:t>
            </w:r>
          </w:p>
        </w:tc>
        <w:tc>
          <w:tcPr>
            <w:tcW w:w="1428" w:type="dxa"/>
            <w:vAlign w:val="center"/>
          </w:tcPr>
          <w:p>
            <w:pPr>
              <w:jc w:val="center"/>
              <w:rPr>
                <w:snapToGrid w:val="0"/>
                <w:color w:val="000000"/>
                <w:kern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663" w:type="dxa"/>
            <w:vMerge w:val="continue"/>
            <w:vAlign w:val="center"/>
          </w:tcPr>
          <w:p>
            <w:pPr>
              <w:pStyle w:val="36"/>
              <w:spacing w:beforeLines="0" w:afterLines="0" w:line="240" w:lineRule="auto"/>
              <w:rPr>
                <w:rFonts w:ascii="Times New Roman"/>
                <w:snapToGrid w:val="0"/>
                <w:color w:val="000000"/>
                <w:kern w:val="21"/>
                <w:szCs w:val="21"/>
              </w:rPr>
            </w:pPr>
          </w:p>
        </w:tc>
        <w:tc>
          <w:tcPr>
            <w:tcW w:w="1484" w:type="dxa"/>
            <w:vAlign w:val="center"/>
          </w:tcPr>
          <w:p>
            <w:pPr>
              <w:jc w:val="center"/>
              <w:rPr>
                <w:szCs w:val="21"/>
              </w:rPr>
            </w:pPr>
            <w:r>
              <w:rPr>
                <w:szCs w:val="21"/>
              </w:rPr>
              <w:t>氨氮</w:t>
            </w:r>
          </w:p>
        </w:tc>
        <w:tc>
          <w:tcPr>
            <w:tcW w:w="1781" w:type="dxa"/>
            <w:vAlign w:val="center"/>
          </w:tcPr>
          <w:p>
            <w:pPr>
              <w:jc w:val="center"/>
              <w:rPr>
                <w:snapToGrid w:val="0"/>
                <w:color w:val="000000"/>
                <w:kern w:val="21"/>
                <w:szCs w:val="21"/>
              </w:rPr>
            </w:pPr>
          </w:p>
        </w:tc>
        <w:tc>
          <w:tcPr>
            <w:tcW w:w="1336" w:type="dxa"/>
            <w:vAlign w:val="center"/>
          </w:tcPr>
          <w:p>
            <w:pPr>
              <w:jc w:val="center"/>
              <w:rPr>
                <w:snapToGrid w:val="0"/>
                <w:color w:val="000000"/>
                <w:kern w:val="21"/>
                <w:szCs w:val="21"/>
              </w:rPr>
            </w:pPr>
          </w:p>
        </w:tc>
        <w:tc>
          <w:tcPr>
            <w:tcW w:w="1781" w:type="dxa"/>
            <w:vAlign w:val="center"/>
          </w:tcPr>
          <w:p>
            <w:pPr>
              <w:jc w:val="center"/>
              <w:rPr>
                <w:snapToGrid w:val="0"/>
                <w:color w:val="000000"/>
                <w:kern w:val="21"/>
                <w:szCs w:val="21"/>
              </w:rPr>
            </w:pPr>
          </w:p>
        </w:tc>
        <w:tc>
          <w:tcPr>
            <w:tcW w:w="1632" w:type="dxa"/>
            <w:vAlign w:val="center"/>
          </w:tcPr>
          <w:p>
            <w:pPr>
              <w:jc w:val="center"/>
              <w:rPr>
                <w:snapToGrid w:val="0"/>
                <w:color w:val="000000"/>
                <w:kern w:val="21"/>
                <w:szCs w:val="21"/>
              </w:rPr>
            </w:pPr>
            <w:r>
              <w:rPr>
                <w:snapToGrid w:val="0"/>
                <w:color w:val="000000"/>
                <w:kern w:val="21"/>
                <w:szCs w:val="21"/>
              </w:rPr>
              <w:t>0</w:t>
            </w:r>
          </w:p>
        </w:tc>
        <w:tc>
          <w:tcPr>
            <w:tcW w:w="1532" w:type="dxa"/>
            <w:vAlign w:val="center"/>
          </w:tcPr>
          <w:p>
            <w:pPr>
              <w:jc w:val="center"/>
              <w:rPr>
                <w:snapToGrid w:val="0"/>
                <w:color w:val="000000"/>
                <w:kern w:val="21"/>
                <w:szCs w:val="21"/>
              </w:rPr>
            </w:pPr>
          </w:p>
        </w:tc>
        <w:tc>
          <w:tcPr>
            <w:tcW w:w="1800" w:type="dxa"/>
            <w:vAlign w:val="center"/>
          </w:tcPr>
          <w:p>
            <w:pPr>
              <w:jc w:val="center"/>
              <w:rPr>
                <w:snapToGrid w:val="0"/>
                <w:color w:val="000000"/>
                <w:kern w:val="21"/>
                <w:szCs w:val="21"/>
              </w:rPr>
            </w:pPr>
            <w:r>
              <w:rPr>
                <w:snapToGrid w:val="0"/>
                <w:color w:val="000000"/>
                <w:kern w:val="21"/>
                <w:szCs w:val="21"/>
              </w:rPr>
              <w:t>0</w:t>
            </w:r>
          </w:p>
        </w:tc>
        <w:tc>
          <w:tcPr>
            <w:tcW w:w="1428" w:type="dxa"/>
            <w:vAlign w:val="center"/>
          </w:tcPr>
          <w:p>
            <w:pPr>
              <w:jc w:val="center"/>
              <w:rPr>
                <w:snapToGrid w:val="0"/>
                <w:color w:val="000000"/>
                <w:kern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663" w:type="dxa"/>
            <w:vMerge w:val="continue"/>
            <w:vAlign w:val="center"/>
          </w:tcPr>
          <w:p>
            <w:pPr>
              <w:pStyle w:val="36"/>
              <w:spacing w:beforeLines="0" w:afterLines="0" w:line="240" w:lineRule="auto"/>
              <w:rPr>
                <w:rFonts w:ascii="Times New Roman"/>
                <w:snapToGrid w:val="0"/>
                <w:color w:val="000000"/>
                <w:kern w:val="21"/>
                <w:szCs w:val="21"/>
              </w:rPr>
            </w:pPr>
          </w:p>
        </w:tc>
        <w:tc>
          <w:tcPr>
            <w:tcW w:w="1484" w:type="dxa"/>
            <w:vAlign w:val="center"/>
          </w:tcPr>
          <w:p>
            <w:pPr>
              <w:jc w:val="center"/>
              <w:rPr>
                <w:szCs w:val="21"/>
              </w:rPr>
            </w:pPr>
            <w:r>
              <w:rPr>
                <w:szCs w:val="21"/>
              </w:rPr>
              <w:t>动植物油</w:t>
            </w:r>
          </w:p>
        </w:tc>
        <w:tc>
          <w:tcPr>
            <w:tcW w:w="1781" w:type="dxa"/>
            <w:vAlign w:val="center"/>
          </w:tcPr>
          <w:p>
            <w:pPr>
              <w:jc w:val="center"/>
              <w:rPr>
                <w:snapToGrid w:val="0"/>
                <w:color w:val="000000"/>
                <w:kern w:val="21"/>
                <w:szCs w:val="21"/>
              </w:rPr>
            </w:pPr>
          </w:p>
        </w:tc>
        <w:tc>
          <w:tcPr>
            <w:tcW w:w="1336" w:type="dxa"/>
            <w:vAlign w:val="center"/>
          </w:tcPr>
          <w:p>
            <w:pPr>
              <w:jc w:val="center"/>
              <w:rPr>
                <w:snapToGrid w:val="0"/>
                <w:color w:val="000000"/>
                <w:kern w:val="21"/>
                <w:szCs w:val="21"/>
              </w:rPr>
            </w:pPr>
          </w:p>
        </w:tc>
        <w:tc>
          <w:tcPr>
            <w:tcW w:w="1781" w:type="dxa"/>
            <w:vAlign w:val="center"/>
          </w:tcPr>
          <w:p>
            <w:pPr>
              <w:jc w:val="center"/>
              <w:rPr>
                <w:snapToGrid w:val="0"/>
                <w:color w:val="000000"/>
                <w:kern w:val="21"/>
                <w:szCs w:val="21"/>
              </w:rPr>
            </w:pPr>
          </w:p>
        </w:tc>
        <w:tc>
          <w:tcPr>
            <w:tcW w:w="1632" w:type="dxa"/>
            <w:vAlign w:val="center"/>
          </w:tcPr>
          <w:p>
            <w:pPr>
              <w:jc w:val="center"/>
              <w:rPr>
                <w:snapToGrid w:val="0"/>
                <w:color w:val="000000"/>
                <w:kern w:val="21"/>
                <w:szCs w:val="21"/>
              </w:rPr>
            </w:pPr>
            <w:r>
              <w:rPr>
                <w:snapToGrid w:val="0"/>
                <w:color w:val="000000"/>
                <w:kern w:val="21"/>
                <w:szCs w:val="21"/>
              </w:rPr>
              <w:t>0</w:t>
            </w:r>
          </w:p>
        </w:tc>
        <w:tc>
          <w:tcPr>
            <w:tcW w:w="1532" w:type="dxa"/>
            <w:vAlign w:val="center"/>
          </w:tcPr>
          <w:p>
            <w:pPr>
              <w:jc w:val="center"/>
              <w:rPr>
                <w:snapToGrid w:val="0"/>
                <w:color w:val="000000"/>
                <w:kern w:val="21"/>
                <w:szCs w:val="21"/>
              </w:rPr>
            </w:pPr>
          </w:p>
        </w:tc>
        <w:tc>
          <w:tcPr>
            <w:tcW w:w="1800" w:type="dxa"/>
            <w:vAlign w:val="center"/>
          </w:tcPr>
          <w:p>
            <w:pPr>
              <w:jc w:val="center"/>
              <w:rPr>
                <w:snapToGrid w:val="0"/>
                <w:color w:val="000000"/>
                <w:kern w:val="21"/>
                <w:szCs w:val="21"/>
              </w:rPr>
            </w:pPr>
            <w:r>
              <w:rPr>
                <w:snapToGrid w:val="0"/>
                <w:color w:val="000000"/>
                <w:kern w:val="21"/>
                <w:szCs w:val="21"/>
              </w:rPr>
              <w:t>0</w:t>
            </w:r>
          </w:p>
        </w:tc>
        <w:tc>
          <w:tcPr>
            <w:tcW w:w="1428" w:type="dxa"/>
            <w:vAlign w:val="center"/>
          </w:tcPr>
          <w:p>
            <w:pPr>
              <w:jc w:val="center"/>
              <w:rPr>
                <w:snapToGrid w:val="0"/>
                <w:color w:val="000000"/>
                <w:kern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663" w:type="dxa"/>
            <w:vAlign w:val="center"/>
          </w:tcPr>
          <w:p>
            <w:pPr>
              <w:pStyle w:val="36"/>
              <w:spacing w:beforeLines="0" w:afterLines="0" w:line="240" w:lineRule="auto"/>
              <w:rPr>
                <w:rFonts w:ascii="Times New Roman"/>
                <w:snapToGrid w:val="0"/>
                <w:color w:val="000000"/>
                <w:kern w:val="21"/>
                <w:szCs w:val="21"/>
              </w:rPr>
            </w:pPr>
            <w:r>
              <w:rPr>
                <w:rFonts w:ascii="Times New Roman"/>
                <w:snapToGrid w:val="0"/>
                <w:color w:val="000000"/>
                <w:kern w:val="21"/>
                <w:szCs w:val="21"/>
              </w:rPr>
              <w:t>一般工业</w:t>
            </w:r>
          </w:p>
          <w:p>
            <w:pPr>
              <w:pStyle w:val="36"/>
              <w:spacing w:beforeLines="0" w:afterLines="0" w:line="240" w:lineRule="auto"/>
              <w:rPr>
                <w:rFonts w:ascii="Times New Roman"/>
                <w:snapToGrid w:val="0"/>
                <w:color w:val="000000"/>
                <w:kern w:val="21"/>
                <w:szCs w:val="21"/>
              </w:rPr>
            </w:pPr>
            <w:r>
              <w:rPr>
                <w:rFonts w:ascii="Times New Roman"/>
                <w:snapToGrid w:val="0"/>
                <w:color w:val="000000"/>
                <w:kern w:val="21"/>
                <w:szCs w:val="21"/>
              </w:rPr>
              <w:t>固体废物</w:t>
            </w:r>
          </w:p>
        </w:tc>
        <w:tc>
          <w:tcPr>
            <w:tcW w:w="1484" w:type="dxa"/>
            <w:vAlign w:val="center"/>
          </w:tcPr>
          <w:p>
            <w:pPr>
              <w:pStyle w:val="62"/>
              <w:overflowPunct w:val="0"/>
              <w:adjustRightInd w:val="0"/>
              <w:spacing w:line="240" w:lineRule="auto"/>
              <w:ind w:left="0" w:leftChars="0"/>
              <w:jc w:val="center"/>
              <w:rPr>
                <w:rFonts w:ascii="Times New Roman" w:hAnsi="Times New Roman" w:eastAsia="宋体"/>
                <w:b w:val="0"/>
                <w:bCs w:val="0"/>
                <w:sz w:val="21"/>
                <w:szCs w:val="21"/>
              </w:rPr>
            </w:pPr>
            <w:r>
              <w:rPr>
                <w:rFonts w:ascii="Times New Roman" w:hAnsi="Times New Roman" w:eastAsia="宋体"/>
                <w:b w:val="0"/>
                <w:bCs w:val="0"/>
                <w:sz w:val="21"/>
                <w:szCs w:val="21"/>
              </w:rPr>
              <w:t>沉渣</w:t>
            </w:r>
          </w:p>
        </w:tc>
        <w:tc>
          <w:tcPr>
            <w:tcW w:w="1781" w:type="dxa"/>
            <w:vAlign w:val="center"/>
          </w:tcPr>
          <w:p>
            <w:pPr>
              <w:jc w:val="center"/>
              <w:rPr>
                <w:snapToGrid w:val="0"/>
                <w:color w:val="000000"/>
                <w:kern w:val="21"/>
                <w:szCs w:val="21"/>
              </w:rPr>
            </w:pPr>
          </w:p>
        </w:tc>
        <w:tc>
          <w:tcPr>
            <w:tcW w:w="1336" w:type="dxa"/>
            <w:vAlign w:val="center"/>
          </w:tcPr>
          <w:p>
            <w:pPr>
              <w:jc w:val="center"/>
              <w:rPr>
                <w:snapToGrid w:val="0"/>
                <w:color w:val="000000"/>
                <w:kern w:val="21"/>
                <w:szCs w:val="21"/>
              </w:rPr>
            </w:pPr>
          </w:p>
        </w:tc>
        <w:tc>
          <w:tcPr>
            <w:tcW w:w="1781" w:type="dxa"/>
            <w:vAlign w:val="center"/>
          </w:tcPr>
          <w:p>
            <w:pPr>
              <w:jc w:val="center"/>
              <w:rPr>
                <w:snapToGrid w:val="0"/>
                <w:color w:val="000000"/>
                <w:kern w:val="21"/>
                <w:szCs w:val="21"/>
              </w:rPr>
            </w:pPr>
          </w:p>
        </w:tc>
        <w:tc>
          <w:tcPr>
            <w:tcW w:w="1632" w:type="dxa"/>
            <w:vAlign w:val="center"/>
          </w:tcPr>
          <w:p>
            <w:pPr>
              <w:overflowPunct w:val="0"/>
              <w:adjustRightInd w:val="0"/>
              <w:jc w:val="center"/>
              <w:rPr>
                <w:szCs w:val="21"/>
              </w:rPr>
            </w:pPr>
            <w:r>
              <w:rPr>
                <w:szCs w:val="21"/>
              </w:rPr>
              <w:t>1</w:t>
            </w:r>
          </w:p>
        </w:tc>
        <w:tc>
          <w:tcPr>
            <w:tcW w:w="1532" w:type="dxa"/>
            <w:vAlign w:val="center"/>
          </w:tcPr>
          <w:p>
            <w:pPr>
              <w:jc w:val="center"/>
              <w:rPr>
                <w:snapToGrid w:val="0"/>
                <w:color w:val="000000"/>
                <w:kern w:val="21"/>
                <w:szCs w:val="21"/>
              </w:rPr>
            </w:pPr>
          </w:p>
        </w:tc>
        <w:tc>
          <w:tcPr>
            <w:tcW w:w="1800" w:type="dxa"/>
            <w:vAlign w:val="center"/>
          </w:tcPr>
          <w:p>
            <w:pPr>
              <w:overflowPunct w:val="0"/>
              <w:adjustRightInd w:val="0"/>
              <w:jc w:val="center"/>
              <w:rPr>
                <w:szCs w:val="21"/>
              </w:rPr>
            </w:pPr>
            <w:r>
              <w:rPr>
                <w:szCs w:val="21"/>
              </w:rPr>
              <w:t>1</w:t>
            </w:r>
          </w:p>
        </w:tc>
        <w:tc>
          <w:tcPr>
            <w:tcW w:w="1428" w:type="dxa"/>
            <w:vAlign w:val="center"/>
          </w:tcPr>
          <w:p>
            <w:pPr>
              <w:overflowPunct w:val="0"/>
              <w:adjustRightInd w:val="0"/>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663" w:type="dxa"/>
            <w:vAlign w:val="center"/>
          </w:tcPr>
          <w:p>
            <w:pPr>
              <w:pStyle w:val="36"/>
              <w:spacing w:beforeLines="0" w:afterLines="0" w:line="240" w:lineRule="auto"/>
              <w:rPr>
                <w:rFonts w:ascii="Times New Roman"/>
                <w:snapToGrid w:val="0"/>
                <w:color w:val="000000"/>
                <w:kern w:val="21"/>
                <w:szCs w:val="21"/>
              </w:rPr>
            </w:pPr>
            <w:r>
              <w:rPr>
                <w:rFonts w:ascii="Times New Roman"/>
                <w:snapToGrid w:val="0"/>
                <w:color w:val="000000"/>
                <w:kern w:val="21"/>
                <w:szCs w:val="21"/>
              </w:rPr>
              <w:t>危险废物</w:t>
            </w:r>
          </w:p>
        </w:tc>
        <w:tc>
          <w:tcPr>
            <w:tcW w:w="1484" w:type="dxa"/>
            <w:vAlign w:val="center"/>
          </w:tcPr>
          <w:p>
            <w:pPr>
              <w:pStyle w:val="62"/>
              <w:overflowPunct w:val="0"/>
              <w:adjustRightInd w:val="0"/>
              <w:spacing w:line="240" w:lineRule="auto"/>
              <w:ind w:left="0" w:leftChars="0"/>
              <w:jc w:val="center"/>
              <w:rPr>
                <w:rFonts w:ascii="Times New Roman" w:hAnsi="Times New Roman" w:eastAsia="宋体"/>
                <w:b w:val="0"/>
                <w:bCs w:val="0"/>
                <w:sz w:val="21"/>
                <w:szCs w:val="21"/>
              </w:rPr>
            </w:pPr>
            <w:r>
              <w:rPr>
                <w:rFonts w:ascii="Times New Roman" w:hAnsi="Times New Roman" w:eastAsia="宋体"/>
                <w:b w:val="0"/>
                <w:bCs w:val="0"/>
                <w:sz w:val="21"/>
                <w:szCs w:val="21"/>
              </w:rPr>
              <w:t>废机油</w:t>
            </w:r>
          </w:p>
        </w:tc>
        <w:tc>
          <w:tcPr>
            <w:tcW w:w="1781" w:type="dxa"/>
            <w:vAlign w:val="center"/>
          </w:tcPr>
          <w:p>
            <w:pPr>
              <w:jc w:val="center"/>
              <w:rPr>
                <w:snapToGrid w:val="0"/>
                <w:color w:val="000000"/>
                <w:kern w:val="21"/>
                <w:szCs w:val="21"/>
              </w:rPr>
            </w:pPr>
          </w:p>
        </w:tc>
        <w:tc>
          <w:tcPr>
            <w:tcW w:w="1336" w:type="dxa"/>
            <w:vAlign w:val="center"/>
          </w:tcPr>
          <w:p>
            <w:pPr>
              <w:jc w:val="center"/>
              <w:rPr>
                <w:snapToGrid w:val="0"/>
                <w:color w:val="000000"/>
                <w:kern w:val="21"/>
                <w:szCs w:val="21"/>
              </w:rPr>
            </w:pPr>
          </w:p>
        </w:tc>
        <w:tc>
          <w:tcPr>
            <w:tcW w:w="1781" w:type="dxa"/>
            <w:vAlign w:val="center"/>
          </w:tcPr>
          <w:p>
            <w:pPr>
              <w:jc w:val="center"/>
              <w:rPr>
                <w:snapToGrid w:val="0"/>
                <w:color w:val="000000"/>
                <w:kern w:val="21"/>
                <w:szCs w:val="21"/>
              </w:rPr>
            </w:pPr>
          </w:p>
        </w:tc>
        <w:tc>
          <w:tcPr>
            <w:tcW w:w="1632" w:type="dxa"/>
            <w:vAlign w:val="center"/>
          </w:tcPr>
          <w:p>
            <w:pPr>
              <w:overflowPunct w:val="0"/>
              <w:adjustRightInd w:val="0"/>
              <w:jc w:val="center"/>
              <w:rPr>
                <w:szCs w:val="21"/>
              </w:rPr>
            </w:pPr>
            <w:r>
              <w:rPr>
                <w:szCs w:val="21"/>
              </w:rPr>
              <w:t>0.7</w:t>
            </w:r>
          </w:p>
        </w:tc>
        <w:tc>
          <w:tcPr>
            <w:tcW w:w="1532" w:type="dxa"/>
            <w:vAlign w:val="center"/>
          </w:tcPr>
          <w:p>
            <w:pPr>
              <w:jc w:val="center"/>
              <w:rPr>
                <w:snapToGrid w:val="0"/>
                <w:color w:val="000000"/>
                <w:kern w:val="21"/>
                <w:szCs w:val="21"/>
              </w:rPr>
            </w:pPr>
          </w:p>
        </w:tc>
        <w:tc>
          <w:tcPr>
            <w:tcW w:w="1800" w:type="dxa"/>
            <w:vAlign w:val="center"/>
          </w:tcPr>
          <w:p>
            <w:pPr>
              <w:overflowPunct w:val="0"/>
              <w:adjustRightInd w:val="0"/>
              <w:jc w:val="center"/>
              <w:rPr>
                <w:szCs w:val="21"/>
              </w:rPr>
            </w:pPr>
            <w:r>
              <w:rPr>
                <w:szCs w:val="21"/>
              </w:rPr>
              <w:t>0.7</w:t>
            </w:r>
          </w:p>
        </w:tc>
        <w:tc>
          <w:tcPr>
            <w:tcW w:w="1428" w:type="dxa"/>
            <w:vAlign w:val="center"/>
          </w:tcPr>
          <w:p>
            <w:pPr>
              <w:overflowPunct w:val="0"/>
              <w:adjustRightInd w:val="0"/>
              <w:jc w:val="center"/>
              <w:rPr>
                <w:szCs w:val="21"/>
              </w:rPr>
            </w:pPr>
          </w:p>
        </w:tc>
      </w:tr>
    </w:tbl>
    <w:p>
      <w:pPr>
        <w:pStyle w:val="36"/>
        <w:spacing w:before="192" w:beforeLines="80" w:after="24"/>
        <w:jc w:val="left"/>
        <w:rPr>
          <w:rFonts w:ascii="Times New Roman"/>
          <w:snapToGrid w:val="0"/>
          <w:color w:val="000000"/>
          <w:spacing w:val="-6"/>
          <w:kern w:val="21"/>
          <w:szCs w:val="21"/>
        </w:rPr>
      </w:pPr>
      <w:r>
        <w:rPr>
          <w:rFonts w:ascii="Times New Roman"/>
          <w:snapToGrid w:val="0"/>
          <w:color w:val="000000"/>
          <w:kern w:val="21"/>
          <w:szCs w:val="21"/>
        </w:rPr>
        <w:t>注：</w:t>
      </w:r>
      <w:r>
        <w:rPr>
          <w:rFonts w:ascii="Times New Roman"/>
          <w:snapToGrid w:val="0"/>
          <w:color w:val="000000"/>
          <w:spacing w:val="-16"/>
          <w:kern w:val="21"/>
          <w:szCs w:val="21"/>
        </w:rPr>
        <w:fldChar w:fldCharType="begin"/>
      </w:r>
      <w:r>
        <w:rPr>
          <w:rFonts w:ascii="Times New Roman"/>
          <w:snapToGrid w:val="0"/>
          <w:color w:val="000000"/>
          <w:spacing w:val="-16"/>
          <w:kern w:val="21"/>
          <w:szCs w:val="21"/>
        </w:rPr>
        <w:instrText xml:space="preserve"> = 6 \* GB3 \* MERGEFORMAT </w:instrText>
      </w:r>
      <w:r>
        <w:rPr>
          <w:rFonts w:ascii="Times New Roman"/>
          <w:snapToGrid w:val="0"/>
          <w:color w:val="000000"/>
          <w:spacing w:val="-16"/>
          <w:kern w:val="21"/>
          <w:szCs w:val="21"/>
        </w:rPr>
        <w:fldChar w:fldCharType="separate"/>
      </w:r>
      <w:r>
        <w:rPr>
          <w:rFonts w:hint="eastAsia" w:hAnsi="宋体" w:cs="宋体"/>
          <w:szCs w:val="21"/>
        </w:rPr>
        <w:t>⑥</w:t>
      </w:r>
      <w:r>
        <w:rPr>
          <w:rFonts w:ascii="Times New Roman"/>
          <w:snapToGrid w:val="0"/>
          <w:color w:val="000000"/>
          <w:spacing w:val="-16"/>
          <w:kern w:val="21"/>
          <w:szCs w:val="21"/>
        </w:rPr>
        <w:fldChar w:fldCharType="end"/>
      </w:r>
      <w:r>
        <w:rPr>
          <w:rFonts w:ascii="Times New Roman"/>
          <w:snapToGrid w:val="0"/>
          <w:color w:val="000000"/>
          <w:spacing w:val="-16"/>
          <w:kern w:val="21"/>
          <w:szCs w:val="21"/>
        </w:rPr>
        <w:t>=</w:t>
      </w:r>
      <w:r>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1 \* GB3 \* MERGEFORMAT </w:instrText>
      </w:r>
      <w:r>
        <w:rPr>
          <w:rFonts w:ascii="Times New Roman"/>
          <w:snapToGrid w:val="0"/>
          <w:color w:val="000000"/>
          <w:spacing w:val="-6"/>
          <w:kern w:val="21"/>
          <w:szCs w:val="21"/>
        </w:rPr>
        <w:fldChar w:fldCharType="separate"/>
      </w:r>
      <w:r>
        <w:rPr>
          <w:rFonts w:hint="eastAsia" w:hAnsi="宋体" w:cs="宋体"/>
          <w:szCs w:val="21"/>
        </w:rPr>
        <w:t>①</w:t>
      </w:r>
      <w:r>
        <w:rPr>
          <w:rFonts w:ascii="Times New Roman"/>
          <w:snapToGrid w:val="0"/>
          <w:color w:val="000000"/>
          <w:spacing w:val="-6"/>
          <w:kern w:val="21"/>
          <w:szCs w:val="21"/>
        </w:rPr>
        <w:fldChar w:fldCharType="end"/>
      </w:r>
      <w:r>
        <w:rPr>
          <w:rFonts w:ascii="Times New Roman"/>
          <w:snapToGrid w:val="0"/>
          <w:color w:val="000000"/>
          <w:spacing w:val="-6"/>
          <w:kern w:val="21"/>
          <w:szCs w:val="21"/>
        </w:rPr>
        <w:t>+</w:t>
      </w:r>
      <w:r>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3 \* GB3 \* MERGEFORMAT </w:instrText>
      </w:r>
      <w:r>
        <w:rPr>
          <w:rFonts w:ascii="Times New Roman"/>
          <w:snapToGrid w:val="0"/>
          <w:color w:val="000000"/>
          <w:spacing w:val="-6"/>
          <w:kern w:val="21"/>
          <w:szCs w:val="21"/>
        </w:rPr>
        <w:fldChar w:fldCharType="separate"/>
      </w:r>
      <w:r>
        <w:rPr>
          <w:rFonts w:hint="eastAsia" w:hAnsi="宋体" w:cs="宋体"/>
          <w:szCs w:val="21"/>
        </w:rPr>
        <w:t>③</w:t>
      </w:r>
      <w:r>
        <w:rPr>
          <w:rFonts w:ascii="Times New Roman"/>
          <w:snapToGrid w:val="0"/>
          <w:color w:val="000000"/>
          <w:spacing w:val="-6"/>
          <w:kern w:val="21"/>
          <w:szCs w:val="21"/>
        </w:rPr>
        <w:fldChar w:fldCharType="end"/>
      </w:r>
      <w:r>
        <w:rPr>
          <w:rFonts w:ascii="Times New Roman"/>
          <w:snapToGrid w:val="0"/>
          <w:color w:val="000000"/>
          <w:spacing w:val="-6"/>
          <w:kern w:val="21"/>
          <w:szCs w:val="21"/>
        </w:rPr>
        <w:t>+</w:t>
      </w:r>
      <w:r>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4 \* GB3 \* MERGEFORMAT </w:instrText>
      </w:r>
      <w:r>
        <w:rPr>
          <w:rFonts w:ascii="Times New Roman"/>
          <w:snapToGrid w:val="0"/>
          <w:color w:val="000000"/>
          <w:spacing w:val="-6"/>
          <w:kern w:val="21"/>
          <w:szCs w:val="21"/>
        </w:rPr>
        <w:fldChar w:fldCharType="separate"/>
      </w:r>
      <w:r>
        <w:rPr>
          <w:rFonts w:hint="eastAsia" w:hAnsi="宋体" w:cs="宋体"/>
          <w:szCs w:val="21"/>
        </w:rPr>
        <w:t>④</w:t>
      </w:r>
      <w:r>
        <w:rPr>
          <w:rFonts w:ascii="Times New Roman"/>
          <w:snapToGrid w:val="0"/>
          <w:color w:val="000000"/>
          <w:spacing w:val="-6"/>
          <w:kern w:val="21"/>
          <w:szCs w:val="21"/>
        </w:rPr>
        <w:fldChar w:fldCharType="end"/>
      </w:r>
      <w:r>
        <w:rPr>
          <w:rFonts w:ascii="Times New Roman"/>
          <w:snapToGrid w:val="0"/>
          <w:color w:val="000000"/>
          <w:spacing w:val="-6"/>
          <w:kern w:val="21"/>
          <w:szCs w:val="21"/>
        </w:rPr>
        <w:t>-</w:t>
      </w:r>
      <w:r>
        <w:rPr>
          <w:rFonts w:ascii="Times New Roman"/>
          <w:snapToGrid w:val="0"/>
          <w:color w:val="000000"/>
          <w:spacing w:val="-16"/>
          <w:kern w:val="21"/>
          <w:szCs w:val="21"/>
        </w:rPr>
        <w:fldChar w:fldCharType="begin"/>
      </w:r>
      <w:r>
        <w:rPr>
          <w:rFonts w:ascii="Times New Roman"/>
          <w:snapToGrid w:val="0"/>
          <w:color w:val="000000"/>
          <w:spacing w:val="-16"/>
          <w:kern w:val="21"/>
          <w:szCs w:val="21"/>
        </w:rPr>
        <w:instrText xml:space="preserve"> = 5 \* GB3 \* MERGEFORMAT </w:instrText>
      </w:r>
      <w:r>
        <w:rPr>
          <w:rFonts w:ascii="Times New Roman"/>
          <w:snapToGrid w:val="0"/>
          <w:color w:val="000000"/>
          <w:spacing w:val="-16"/>
          <w:kern w:val="21"/>
          <w:szCs w:val="21"/>
        </w:rPr>
        <w:fldChar w:fldCharType="separate"/>
      </w:r>
      <w:r>
        <w:rPr>
          <w:rFonts w:hint="eastAsia" w:hAnsi="宋体" w:cs="宋体"/>
          <w:szCs w:val="21"/>
        </w:rPr>
        <w:t>⑤</w:t>
      </w:r>
      <w:r>
        <w:rPr>
          <w:rFonts w:ascii="Times New Roman"/>
          <w:snapToGrid w:val="0"/>
          <w:color w:val="000000"/>
          <w:spacing w:val="-16"/>
          <w:kern w:val="21"/>
          <w:szCs w:val="21"/>
        </w:rPr>
        <w:fldChar w:fldCharType="end"/>
      </w:r>
      <w:r>
        <w:rPr>
          <w:rFonts w:ascii="Times New Roman"/>
          <w:snapToGrid w:val="0"/>
          <w:color w:val="000000"/>
          <w:spacing w:val="-16"/>
          <w:kern w:val="21"/>
          <w:szCs w:val="21"/>
        </w:rPr>
        <w:t>；</w:t>
      </w:r>
      <w:r>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7 \* GB3 \* MERGEFORMAT </w:instrText>
      </w:r>
      <w:r>
        <w:rPr>
          <w:rFonts w:ascii="Times New Roman"/>
          <w:snapToGrid w:val="0"/>
          <w:color w:val="000000"/>
          <w:spacing w:val="-6"/>
          <w:kern w:val="21"/>
          <w:szCs w:val="21"/>
        </w:rPr>
        <w:fldChar w:fldCharType="separate"/>
      </w:r>
      <w:r>
        <w:rPr>
          <w:rFonts w:hint="eastAsia" w:hAnsi="宋体" w:cs="宋体"/>
          <w:szCs w:val="21"/>
        </w:rPr>
        <w:t>⑦</w:t>
      </w:r>
      <w:r>
        <w:rPr>
          <w:rFonts w:ascii="Times New Roman"/>
          <w:snapToGrid w:val="0"/>
          <w:color w:val="000000"/>
          <w:spacing w:val="-6"/>
          <w:kern w:val="21"/>
          <w:szCs w:val="21"/>
        </w:rPr>
        <w:fldChar w:fldCharType="end"/>
      </w:r>
      <w:r>
        <w:rPr>
          <w:rFonts w:ascii="Times New Roman"/>
          <w:snapToGrid w:val="0"/>
          <w:color w:val="000000"/>
          <w:spacing w:val="-6"/>
          <w:kern w:val="21"/>
          <w:szCs w:val="21"/>
        </w:rPr>
        <w:t>=</w:t>
      </w:r>
      <w:r>
        <w:rPr>
          <w:rFonts w:ascii="Times New Roman"/>
          <w:snapToGrid w:val="0"/>
          <w:color w:val="000000"/>
          <w:spacing w:val="-16"/>
          <w:kern w:val="21"/>
          <w:szCs w:val="21"/>
        </w:rPr>
        <w:fldChar w:fldCharType="begin"/>
      </w:r>
      <w:r>
        <w:rPr>
          <w:rFonts w:ascii="Times New Roman"/>
          <w:snapToGrid w:val="0"/>
          <w:color w:val="000000"/>
          <w:spacing w:val="-16"/>
          <w:kern w:val="21"/>
          <w:szCs w:val="21"/>
        </w:rPr>
        <w:instrText xml:space="preserve"> = 6 \* GB3 \* MERGEFORMAT </w:instrText>
      </w:r>
      <w:r>
        <w:rPr>
          <w:rFonts w:ascii="Times New Roman"/>
          <w:snapToGrid w:val="0"/>
          <w:color w:val="000000"/>
          <w:spacing w:val="-16"/>
          <w:kern w:val="21"/>
          <w:szCs w:val="21"/>
        </w:rPr>
        <w:fldChar w:fldCharType="separate"/>
      </w:r>
      <w:r>
        <w:rPr>
          <w:rFonts w:hint="eastAsia" w:hAnsi="宋体" w:cs="宋体"/>
          <w:szCs w:val="21"/>
        </w:rPr>
        <w:t>⑥</w:t>
      </w:r>
      <w:r>
        <w:rPr>
          <w:rFonts w:ascii="Times New Roman"/>
          <w:snapToGrid w:val="0"/>
          <w:color w:val="000000"/>
          <w:spacing w:val="-16"/>
          <w:kern w:val="21"/>
          <w:szCs w:val="21"/>
        </w:rPr>
        <w:fldChar w:fldCharType="end"/>
      </w:r>
      <w:r>
        <w:rPr>
          <w:rFonts w:ascii="Times New Roman"/>
          <w:snapToGrid w:val="0"/>
          <w:color w:val="000000"/>
          <w:spacing w:val="-16"/>
          <w:kern w:val="21"/>
          <w:szCs w:val="21"/>
        </w:rPr>
        <w:t>--</w:t>
      </w:r>
      <w:r>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1 \* GB3 \* MERGEFORMAT </w:instrText>
      </w:r>
      <w:r>
        <w:rPr>
          <w:rFonts w:ascii="Times New Roman"/>
          <w:snapToGrid w:val="0"/>
          <w:color w:val="000000"/>
          <w:spacing w:val="-6"/>
          <w:kern w:val="21"/>
          <w:szCs w:val="21"/>
        </w:rPr>
        <w:fldChar w:fldCharType="separate"/>
      </w:r>
      <w:r>
        <w:rPr>
          <w:rFonts w:hint="eastAsia" w:hAnsi="宋体" w:cs="宋体"/>
          <w:szCs w:val="21"/>
        </w:rPr>
        <w:t>①</w:t>
      </w:r>
      <w:r>
        <w:rPr>
          <w:rFonts w:ascii="Times New Roman"/>
          <w:snapToGrid w:val="0"/>
          <w:color w:val="000000"/>
          <w:spacing w:val="-6"/>
          <w:kern w:val="21"/>
          <w:szCs w:val="21"/>
        </w:rPr>
        <w:fldChar w:fldCharType="end"/>
      </w:r>
    </w:p>
    <w:p>
      <w:pPr>
        <w:pStyle w:val="61"/>
        <w:rPr>
          <w:rFonts w:ascii="Times New Roman" w:cs="Times New Roman"/>
        </w:rPr>
      </w:pPr>
    </w:p>
    <w:sectPr>
      <w:footerReference r:id="rId6" w:type="default"/>
      <w:pgSz w:w="16838" w:h="11906" w:orient="landscape"/>
      <w:pgMar w:top="1134" w:right="1418" w:bottom="1134" w:left="1247" w:header="851" w:footer="851"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imesNewRomanPSMT">
    <w:altName w:val="微软雅黑"/>
    <w:panose1 w:val="00000000000000000000"/>
    <w:charset w:val="00"/>
    <w:family w:val="roman"/>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decorative"/>
    <w:pitch w:val="default"/>
    <w:sig w:usb0="00000000" w:usb1="00000000" w:usb2="00000000" w:usb3="00000000" w:csb0="80000000" w:csb1="00000000"/>
  </w:font>
  <w:font w:name="Segoe UI Emoji">
    <w:altName w:val="Segoe UI"/>
    <w:panose1 w:val="020B0502040204020203"/>
    <w:charset w:val="00"/>
    <w:family w:val="swiss"/>
    <w:pitch w:val="default"/>
    <w:sig w:usb0="00000000" w:usb1="00000000" w:usb2="00000000" w:usb3="00000000" w:csb0="00000001" w:csb1="00000000"/>
  </w:font>
  <w:font w:name="Segoe UI">
    <w:panose1 w:val="020B0502040204020203"/>
    <w:charset w:val="00"/>
    <w:family w:val="auto"/>
    <w:pitch w:val="default"/>
    <w:sig w:usb0="E10022FF" w:usb1="C000E47F" w:usb2="00000029" w:usb3="00000000" w:csb0="200001DF" w:csb1="2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9"/>
      </w:rPr>
    </w:pPr>
    <w:r>
      <w:fldChar w:fldCharType="begin"/>
    </w:r>
    <w:r>
      <w:rPr>
        <w:rStyle w:val="29"/>
      </w:rPr>
      <w:instrText xml:space="preserve">PAGE  </w:instrText>
    </w:r>
    <w:r>
      <w:fldChar w:fldCharType="end"/>
    </w:r>
  </w:p>
  <w:p>
    <w:pPr>
      <w:pStyle w:val="1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5189597"/>
      <w:docPartObj>
        <w:docPartGallery w:val="autotext"/>
      </w:docPartObj>
    </w:sdtPr>
    <w:sdtContent>
      <w:p>
        <w:pPr>
          <w:pStyle w:val="18"/>
          <w:jc w:val="center"/>
        </w:pPr>
        <w:r>
          <w:fldChar w:fldCharType="begin"/>
        </w:r>
        <w:r>
          <w:instrText xml:space="preserve">PAGE   \* MERGEFORMAT</w:instrText>
        </w:r>
        <w:r>
          <w:fldChar w:fldCharType="separate"/>
        </w:r>
        <w:r>
          <w:rPr>
            <w:lang w:val="zh-CN"/>
          </w:rPr>
          <w:t>2</w:t>
        </w:r>
        <w:r>
          <w:fldChar w:fldCharType="end"/>
        </w:r>
      </w:p>
    </w:sdtContent>
  </w:sdt>
  <w:p>
    <w:pPr>
      <w:pStyle w:val="18"/>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4532716"/>
      <w:docPartObj>
        <w:docPartGallery w:val="autotext"/>
      </w:docPartObj>
    </w:sdtPr>
    <w:sdtContent>
      <w:p>
        <w:pPr>
          <w:pStyle w:val="18"/>
          <w:jc w:val="center"/>
        </w:pPr>
        <w:r>
          <w:fldChar w:fldCharType="begin"/>
        </w:r>
        <w:r>
          <w:instrText xml:space="preserve">PAGE   \* MERGEFORMAT</w:instrText>
        </w:r>
        <w:r>
          <w:fldChar w:fldCharType="separate"/>
        </w:r>
        <w:r>
          <w:rPr>
            <w:lang w:val="zh-CN"/>
          </w:rPr>
          <w:t>2</w:t>
        </w:r>
        <w:r>
          <w:fldChar w:fldCharType="end"/>
        </w:r>
      </w:p>
    </w:sdtContent>
  </w:sdt>
  <w:p>
    <w:pPr>
      <w:pStyle w:val="18"/>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lowerLetter"/>
      <w:lvlText w:val="%1."/>
      <w:lvlJc w:val="left"/>
      <w:pPr>
        <w:tabs>
          <w:tab w:val="left" w:pos="420"/>
        </w:tabs>
        <w:ind w:left="0" w:firstLine="539"/>
      </w:pPr>
      <w:rPr>
        <w:rFonts w:hint="eastAsia"/>
      </w:rPr>
    </w:lvl>
    <w:lvl w:ilvl="1" w:tentative="0">
      <w:start w:val="1"/>
      <w:numFmt w:val="lowerLetter"/>
      <w:lvlText w:val="%2)"/>
      <w:lvlJc w:val="left"/>
      <w:pPr>
        <w:tabs>
          <w:tab w:val="left" w:pos="840"/>
        </w:tabs>
        <w:ind w:left="840" w:hanging="420"/>
      </w:pPr>
    </w:lvl>
    <w:lvl w:ilvl="2" w:tentative="0">
      <w:start w:val="1"/>
      <w:numFmt w:val="lowerRoman"/>
      <w:pStyle w:val="55"/>
      <w:lvlText w:val="%3."/>
      <w:lvlJc w:val="right"/>
      <w:pPr>
        <w:tabs>
          <w:tab w:val="left" w:pos="1260"/>
        </w:tabs>
        <w:ind w:left="1260" w:hanging="420"/>
      </w:pPr>
    </w:lvl>
    <w:lvl w:ilvl="3" w:tentative="0">
      <w:start w:val="1"/>
      <w:numFmt w:val="decimal"/>
      <w:pStyle w:val="74"/>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3153E30"/>
    <w:multiLevelType w:val="singleLevel"/>
    <w:tmpl w:val="43153E30"/>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gutterAtTop/>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oNotHyphenateCaps/>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69E"/>
    <w:rsid w:val="000009DE"/>
    <w:rsid w:val="00003B46"/>
    <w:rsid w:val="00004ACA"/>
    <w:rsid w:val="000060B3"/>
    <w:rsid w:val="0001221C"/>
    <w:rsid w:val="00014A53"/>
    <w:rsid w:val="000156C6"/>
    <w:rsid w:val="00015B4C"/>
    <w:rsid w:val="00015F04"/>
    <w:rsid w:val="00016EE9"/>
    <w:rsid w:val="00017EB0"/>
    <w:rsid w:val="00022E32"/>
    <w:rsid w:val="000306A5"/>
    <w:rsid w:val="00030CF3"/>
    <w:rsid w:val="000317F3"/>
    <w:rsid w:val="000343D8"/>
    <w:rsid w:val="00035F6F"/>
    <w:rsid w:val="000362E0"/>
    <w:rsid w:val="0003689F"/>
    <w:rsid w:val="00037AF6"/>
    <w:rsid w:val="000403FC"/>
    <w:rsid w:val="0004079F"/>
    <w:rsid w:val="00040D7D"/>
    <w:rsid w:val="0004364B"/>
    <w:rsid w:val="00043A2E"/>
    <w:rsid w:val="00044337"/>
    <w:rsid w:val="000464AE"/>
    <w:rsid w:val="00047340"/>
    <w:rsid w:val="000519F9"/>
    <w:rsid w:val="00053D67"/>
    <w:rsid w:val="00054326"/>
    <w:rsid w:val="000544F6"/>
    <w:rsid w:val="00061B1F"/>
    <w:rsid w:val="00063F44"/>
    <w:rsid w:val="000652B6"/>
    <w:rsid w:val="00065B87"/>
    <w:rsid w:val="000705DF"/>
    <w:rsid w:val="00071314"/>
    <w:rsid w:val="000733C4"/>
    <w:rsid w:val="00074783"/>
    <w:rsid w:val="0008070B"/>
    <w:rsid w:val="00080D06"/>
    <w:rsid w:val="000810AC"/>
    <w:rsid w:val="00081A02"/>
    <w:rsid w:val="00081ABE"/>
    <w:rsid w:val="00082231"/>
    <w:rsid w:val="00083781"/>
    <w:rsid w:val="00083866"/>
    <w:rsid w:val="00087522"/>
    <w:rsid w:val="000917A7"/>
    <w:rsid w:val="00091D9D"/>
    <w:rsid w:val="000926AA"/>
    <w:rsid w:val="00092D38"/>
    <w:rsid w:val="0009377B"/>
    <w:rsid w:val="000941BD"/>
    <w:rsid w:val="00095F2F"/>
    <w:rsid w:val="000A20C9"/>
    <w:rsid w:val="000A3327"/>
    <w:rsid w:val="000A79F7"/>
    <w:rsid w:val="000B058F"/>
    <w:rsid w:val="000B12D9"/>
    <w:rsid w:val="000B2704"/>
    <w:rsid w:val="000B31FE"/>
    <w:rsid w:val="000B4467"/>
    <w:rsid w:val="000B4DB9"/>
    <w:rsid w:val="000B5611"/>
    <w:rsid w:val="000B725A"/>
    <w:rsid w:val="000B7A85"/>
    <w:rsid w:val="000B7EA5"/>
    <w:rsid w:val="000C02A2"/>
    <w:rsid w:val="000C0441"/>
    <w:rsid w:val="000C09AC"/>
    <w:rsid w:val="000C0BE6"/>
    <w:rsid w:val="000C24AA"/>
    <w:rsid w:val="000C3BED"/>
    <w:rsid w:val="000C767F"/>
    <w:rsid w:val="000D0145"/>
    <w:rsid w:val="000D1F02"/>
    <w:rsid w:val="000D2D6A"/>
    <w:rsid w:val="000D33CA"/>
    <w:rsid w:val="000D3F78"/>
    <w:rsid w:val="000D46CE"/>
    <w:rsid w:val="000D499C"/>
    <w:rsid w:val="000D5369"/>
    <w:rsid w:val="000D5A44"/>
    <w:rsid w:val="000D679E"/>
    <w:rsid w:val="000D7395"/>
    <w:rsid w:val="000E0430"/>
    <w:rsid w:val="000E3ED2"/>
    <w:rsid w:val="000E5D34"/>
    <w:rsid w:val="000E7D64"/>
    <w:rsid w:val="000E7E57"/>
    <w:rsid w:val="000F2656"/>
    <w:rsid w:val="000F26E5"/>
    <w:rsid w:val="000F3E22"/>
    <w:rsid w:val="000F44ED"/>
    <w:rsid w:val="000F5D2B"/>
    <w:rsid w:val="000F65B5"/>
    <w:rsid w:val="001006F0"/>
    <w:rsid w:val="00101528"/>
    <w:rsid w:val="00102ADE"/>
    <w:rsid w:val="00103938"/>
    <w:rsid w:val="00106D91"/>
    <w:rsid w:val="0011209F"/>
    <w:rsid w:val="0011398E"/>
    <w:rsid w:val="00113C83"/>
    <w:rsid w:val="00120162"/>
    <w:rsid w:val="00120FFD"/>
    <w:rsid w:val="0012198C"/>
    <w:rsid w:val="001245A0"/>
    <w:rsid w:val="00124721"/>
    <w:rsid w:val="00124A39"/>
    <w:rsid w:val="00125584"/>
    <w:rsid w:val="001300AD"/>
    <w:rsid w:val="00130202"/>
    <w:rsid w:val="00131F42"/>
    <w:rsid w:val="00132B77"/>
    <w:rsid w:val="00133530"/>
    <w:rsid w:val="00134805"/>
    <w:rsid w:val="001357F1"/>
    <w:rsid w:val="00140FA8"/>
    <w:rsid w:val="00141946"/>
    <w:rsid w:val="00142A78"/>
    <w:rsid w:val="00142FEB"/>
    <w:rsid w:val="00143A2D"/>
    <w:rsid w:val="00143B8F"/>
    <w:rsid w:val="00145A41"/>
    <w:rsid w:val="00145ED0"/>
    <w:rsid w:val="00150178"/>
    <w:rsid w:val="00150564"/>
    <w:rsid w:val="00150644"/>
    <w:rsid w:val="00151675"/>
    <w:rsid w:val="00153A52"/>
    <w:rsid w:val="001554BE"/>
    <w:rsid w:val="001572B2"/>
    <w:rsid w:val="00157435"/>
    <w:rsid w:val="001577F4"/>
    <w:rsid w:val="00162498"/>
    <w:rsid w:val="00163B8A"/>
    <w:rsid w:val="00163D26"/>
    <w:rsid w:val="001662FF"/>
    <w:rsid w:val="00170B1F"/>
    <w:rsid w:val="00172A27"/>
    <w:rsid w:val="001731C4"/>
    <w:rsid w:val="0017504D"/>
    <w:rsid w:val="0017671A"/>
    <w:rsid w:val="001772B5"/>
    <w:rsid w:val="00177422"/>
    <w:rsid w:val="00180971"/>
    <w:rsid w:val="00180C22"/>
    <w:rsid w:val="001815F1"/>
    <w:rsid w:val="0018164E"/>
    <w:rsid w:val="001829DF"/>
    <w:rsid w:val="00184590"/>
    <w:rsid w:val="001870D1"/>
    <w:rsid w:val="0018781E"/>
    <w:rsid w:val="00187DDD"/>
    <w:rsid w:val="00187FB5"/>
    <w:rsid w:val="00190220"/>
    <w:rsid w:val="001909F1"/>
    <w:rsid w:val="0019262D"/>
    <w:rsid w:val="00193291"/>
    <w:rsid w:val="0019395F"/>
    <w:rsid w:val="001967CF"/>
    <w:rsid w:val="0019755A"/>
    <w:rsid w:val="001A1B35"/>
    <w:rsid w:val="001A4011"/>
    <w:rsid w:val="001A48A2"/>
    <w:rsid w:val="001A6F61"/>
    <w:rsid w:val="001B4380"/>
    <w:rsid w:val="001B72B8"/>
    <w:rsid w:val="001C216F"/>
    <w:rsid w:val="001C32CF"/>
    <w:rsid w:val="001C570A"/>
    <w:rsid w:val="001C5A48"/>
    <w:rsid w:val="001C5FCB"/>
    <w:rsid w:val="001C67BA"/>
    <w:rsid w:val="001C69B3"/>
    <w:rsid w:val="001C744B"/>
    <w:rsid w:val="001D09D3"/>
    <w:rsid w:val="001D0AEE"/>
    <w:rsid w:val="001D1C41"/>
    <w:rsid w:val="001D4654"/>
    <w:rsid w:val="001D5595"/>
    <w:rsid w:val="001D5BDF"/>
    <w:rsid w:val="001D7082"/>
    <w:rsid w:val="001D73E0"/>
    <w:rsid w:val="001D7874"/>
    <w:rsid w:val="001D7F22"/>
    <w:rsid w:val="001E13D9"/>
    <w:rsid w:val="001E178A"/>
    <w:rsid w:val="001E1E67"/>
    <w:rsid w:val="001E1ED3"/>
    <w:rsid w:val="001E21B3"/>
    <w:rsid w:val="001E5C6C"/>
    <w:rsid w:val="001E5F8C"/>
    <w:rsid w:val="001E6B9F"/>
    <w:rsid w:val="001E7093"/>
    <w:rsid w:val="001F024D"/>
    <w:rsid w:val="001F0F17"/>
    <w:rsid w:val="001F19F6"/>
    <w:rsid w:val="001F3347"/>
    <w:rsid w:val="001F34D3"/>
    <w:rsid w:val="001F69E4"/>
    <w:rsid w:val="001F7082"/>
    <w:rsid w:val="001F72F1"/>
    <w:rsid w:val="001F7D3E"/>
    <w:rsid w:val="00202BD6"/>
    <w:rsid w:val="002034E2"/>
    <w:rsid w:val="00203A24"/>
    <w:rsid w:val="002042D4"/>
    <w:rsid w:val="00204E68"/>
    <w:rsid w:val="0020671C"/>
    <w:rsid w:val="00207232"/>
    <w:rsid w:val="00207FD3"/>
    <w:rsid w:val="0021003F"/>
    <w:rsid w:val="002125B4"/>
    <w:rsid w:val="002155B8"/>
    <w:rsid w:val="002223F0"/>
    <w:rsid w:val="00224839"/>
    <w:rsid w:val="002249B2"/>
    <w:rsid w:val="00225613"/>
    <w:rsid w:val="002256A4"/>
    <w:rsid w:val="00226574"/>
    <w:rsid w:val="002278EC"/>
    <w:rsid w:val="00230A83"/>
    <w:rsid w:val="0023149D"/>
    <w:rsid w:val="0023280E"/>
    <w:rsid w:val="00236C1E"/>
    <w:rsid w:val="002377D1"/>
    <w:rsid w:val="00240FD5"/>
    <w:rsid w:val="00242D8A"/>
    <w:rsid w:val="0024665A"/>
    <w:rsid w:val="002475E2"/>
    <w:rsid w:val="002478BC"/>
    <w:rsid w:val="00250303"/>
    <w:rsid w:val="002506BC"/>
    <w:rsid w:val="00251169"/>
    <w:rsid w:val="00251DF3"/>
    <w:rsid w:val="002525C1"/>
    <w:rsid w:val="002532CB"/>
    <w:rsid w:val="00254345"/>
    <w:rsid w:val="0025456A"/>
    <w:rsid w:val="00263590"/>
    <w:rsid w:val="00264557"/>
    <w:rsid w:val="002646B8"/>
    <w:rsid w:val="00265B3C"/>
    <w:rsid w:val="002669EC"/>
    <w:rsid w:val="00271C6D"/>
    <w:rsid w:val="002734ED"/>
    <w:rsid w:val="0027392A"/>
    <w:rsid w:val="00275BEC"/>
    <w:rsid w:val="002805AB"/>
    <w:rsid w:val="002815F2"/>
    <w:rsid w:val="00281D34"/>
    <w:rsid w:val="0028280F"/>
    <w:rsid w:val="00284204"/>
    <w:rsid w:val="00284764"/>
    <w:rsid w:val="00284935"/>
    <w:rsid w:val="002849EF"/>
    <w:rsid w:val="00284C8E"/>
    <w:rsid w:val="00291255"/>
    <w:rsid w:val="002913A0"/>
    <w:rsid w:val="00291773"/>
    <w:rsid w:val="0029261F"/>
    <w:rsid w:val="002928F9"/>
    <w:rsid w:val="0029429B"/>
    <w:rsid w:val="00296108"/>
    <w:rsid w:val="002964BD"/>
    <w:rsid w:val="002A168C"/>
    <w:rsid w:val="002A2903"/>
    <w:rsid w:val="002A3D92"/>
    <w:rsid w:val="002A3DC7"/>
    <w:rsid w:val="002A4C81"/>
    <w:rsid w:val="002A4F7B"/>
    <w:rsid w:val="002A51EB"/>
    <w:rsid w:val="002A5217"/>
    <w:rsid w:val="002A7CC4"/>
    <w:rsid w:val="002B1257"/>
    <w:rsid w:val="002B2D7C"/>
    <w:rsid w:val="002B3F58"/>
    <w:rsid w:val="002B49E2"/>
    <w:rsid w:val="002B7A23"/>
    <w:rsid w:val="002B7B00"/>
    <w:rsid w:val="002B7C44"/>
    <w:rsid w:val="002C0450"/>
    <w:rsid w:val="002C1310"/>
    <w:rsid w:val="002C2B17"/>
    <w:rsid w:val="002C348F"/>
    <w:rsid w:val="002C3979"/>
    <w:rsid w:val="002C4BC7"/>
    <w:rsid w:val="002C4D10"/>
    <w:rsid w:val="002C5C5B"/>
    <w:rsid w:val="002C5FB9"/>
    <w:rsid w:val="002C7224"/>
    <w:rsid w:val="002D2AD9"/>
    <w:rsid w:val="002D3DD0"/>
    <w:rsid w:val="002D5B94"/>
    <w:rsid w:val="002E1F3A"/>
    <w:rsid w:val="002E298A"/>
    <w:rsid w:val="002E3A17"/>
    <w:rsid w:val="002E4C06"/>
    <w:rsid w:val="002E5730"/>
    <w:rsid w:val="002E59EF"/>
    <w:rsid w:val="002E5CE2"/>
    <w:rsid w:val="002E6F05"/>
    <w:rsid w:val="002F15BB"/>
    <w:rsid w:val="002F1BBC"/>
    <w:rsid w:val="002F2536"/>
    <w:rsid w:val="002F361C"/>
    <w:rsid w:val="002F453F"/>
    <w:rsid w:val="002F4E4C"/>
    <w:rsid w:val="002F6502"/>
    <w:rsid w:val="003018FE"/>
    <w:rsid w:val="00301978"/>
    <w:rsid w:val="003030D7"/>
    <w:rsid w:val="0030332C"/>
    <w:rsid w:val="00304328"/>
    <w:rsid w:val="00304F7D"/>
    <w:rsid w:val="003051C2"/>
    <w:rsid w:val="0030556C"/>
    <w:rsid w:val="003064E9"/>
    <w:rsid w:val="00310DF7"/>
    <w:rsid w:val="00311DE9"/>
    <w:rsid w:val="00312296"/>
    <w:rsid w:val="0031259B"/>
    <w:rsid w:val="00312D26"/>
    <w:rsid w:val="003136AD"/>
    <w:rsid w:val="00314F0E"/>
    <w:rsid w:val="00315DA8"/>
    <w:rsid w:val="00316341"/>
    <w:rsid w:val="00316DC5"/>
    <w:rsid w:val="0032053B"/>
    <w:rsid w:val="00321477"/>
    <w:rsid w:val="00321C9B"/>
    <w:rsid w:val="00321D8E"/>
    <w:rsid w:val="00325928"/>
    <w:rsid w:val="00327737"/>
    <w:rsid w:val="00330B82"/>
    <w:rsid w:val="00331459"/>
    <w:rsid w:val="00332863"/>
    <w:rsid w:val="003328C5"/>
    <w:rsid w:val="00332BF8"/>
    <w:rsid w:val="00333A6C"/>
    <w:rsid w:val="00333F14"/>
    <w:rsid w:val="00335A78"/>
    <w:rsid w:val="00335CF5"/>
    <w:rsid w:val="0033684D"/>
    <w:rsid w:val="00336FA4"/>
    <w:rsid w:val="00337B42"/>
    <w:rsid w:val="003403DD"/>
    <w:rsid w:val="00341823"/>
    <w:rsid w:val="003418E8"/>
    <w:rsid w:val="00341B42"/>
    <w:rsid w:val="00342BD4"/>
    <w:rsid w:val="0034348F"/>
    <w:rsid w:val="00344D94"/>
    <w:rsid w:val="00345749"/>
    <w:rsid w:val="00346C33"/>
    <w:rsid w:val="0034739B"/>
    <w:rsid w:val="00350E94"/>
    <w:rsid w:val="00351EE5"/>
    <w:rsid w:val="00353F86"/>
    <w:rsid w:val="0035408A"/>
    <w:rsid w:val="00354284"/>
    <w:rsid w:val="00354908"/>
    <w:rsid w:val="00356653"/>
    <w:rsid w:val="00356BAF"/>
    <w:rsid w:val="0035743F"/>
    <w:rsid w:val="00357BE2"/>
    <w:rsid w:val="00357C5E"/>
    <w:rsid w:val="0036170C"/>
    <w:rsid w:val="00361FE6"/>
    <w:rsid w:val="00363213"/>
    <w:rsid w:val="00363905"/>
    <w:rsid w:val="00364541"/>
    <w:rsid w:val="00366090"/>
    <w:rsid w:val="00366E0F"/>
    <w:rsid w:val="00367A38"/>
    <w:rsid w:val="00371D22"/>
    <w:rsid w:val="00371F0C"/>
    <w:rsid w:val="003729A1"/>
    <w:rsid w:val="00375CC1"/>
    <w:rsid w:val="00376693"/>
    <w:rsid w:val="003809F6"/>
    <w:rsid w:val="00381A72"/>
    <w:rsid w:val="00381E99"/>
    <w:rsid w:val="00381F82"/>
    <w:rsid w:val="0038252E"/>
    <w:rsid w:val="00382911"/>
    <w:rsid w:val="00383754"/>
    <w:rsid w:val="00383AB8"/>
    <w:rsid w:val="00384676"/>
    <w:rsid w:val="003854AF"/>
    <w:rsid w:val="00386385"/>
    <w:rsid w:val="00387C4E"/>
    <w:rsid w:val="003905E3"/>
    <w:rsid w:val="00390857"/>
    <w:rsid w:val="003944DE"/>
    <w:rsid w:val="0039506A"/>
    <w:rsid w:val="00397D05"/>
    <w:rsid w:val="003A0DE2"/>
    <w:rsid w:val="003A2B7F"/>
    <w:rsid w:val="003A4BF3"/>
    <w:rsid w:val="003A56D2"/>
    <w:rsid w:val="003A6322"/>
    <w:rsid w:val="003A7142"/>
    <w:rsid w:val="003A7A05"/>
    <w:rsid w:val="003B1E9B"/>
    <w:rsid w:val="003B2CC4"/>
    <w:rsid w:val="003B3F1D"/>
    <w:rsid w:val="003B420D"/>
    <w:rsid w:val="003C000B"/>
    <w:rsid w:val="003C52E7"/>
    <w:rsid w:val="003C57EC"/>
    <w:rsid w:val="003C5DB7"/>
    <w:rsid w:val="003C6C16"/>
    <w:rsid w:val="003C73A4"/>
    <w:rsid w:val="003D1761"/>
    <w:rsid w:val="003D2297"/>
    <w:rsid w:val="003D2F69"/>
    <w:rsid w:val="003D3A2E"/>
    <w:rsid w:val="003D3C52"/>
    <w:rsid w:val="003D3EFF"/>
    <w:rsid w:val="003D4031"/>
    <w:rsid w:val="003D4665"/>
    <w:rsid w:val="003D5359"/>
    <w:rsid w:val="003D618E"/>
    <w:rsid w:val="003D750D"/>
    <w:rsid w:val="003D794D"/>
    <w:rsid w:val="003E166E"/>
    <w:rsid w:val="003E24DB"/>
    <w:rsid w:val="003E2EDA"/>
    <w:rsid w:val="003E3058"/>
    <w:rsid w:val="003E32EA"/>
    <w:rsid w:val="003E3D6C"/>
    <w:rsid w:val="003E41B9"/>
    <w:rsid w:val="003E4C0C"/>
    <w:rsid w:val="003E53B2"/>
    <w:rsid w:val="003E5CAE"/>
    <w:rsid w:val="003E76A9"/>
    <w:rsid w:val="003E7D0C"/>
    <w:rsid w:val="003F0809"/>
    <w:rsid w:val="003F2431"/>
    <w:rsid w:val="003F5015"/>
    <w:rsid w:val="003F6A8C"/>
    <w:rsid w:val="003F755C"/>
    <w:rsid w:val="0040105C"/>
    <w:rsid w:val="004011DC"/>
    <w:rsid w:val="00401A76"/>
    <w:rsid w:val="0040246D"/>
    <w:rsid w:val="0040586A"/>
    <w:rsid w:val="00406DD7"/>
    <w:rsid w:val="00406F01"/>
    <w:rsid w:val="00407AF6"/>
    <w:rsid w:val="00407D2D"/>
    <w:rsid w:val="00412F80"/>
    <w:rsid w:val="004135AD"/>
    <w:rsid w:val="00413EAA"/>
    <w:rsid w:val="004158D2"/>
    <w:rsid w:val="00416D50"/>
    <w:rsid w:val="00416FD5"/>
    <w:rsid w:val="00417772"/>
    <w:rsid w:val="004207B8"/>
    <w:rsid w:val="00420DCE"/>
    <w:rsid w:val="00420E6A"/>
    <w:rsid w:val="004223B0"/>
    <w:rsid w:val="00422F92"/>
    <w:rsid w:val="00423DFF"/>
    <w:rsid w:val="004246FA"/>
    <w:rsid w:val="0042509C"/>
    <w:rsid w:val="00425A9E"/>
    <w:rsid w:val="00426D6B"/>
    <w:rsid w:val="0042721F"/>
    <w:rsid w:val="0043004E"/>
    <w:rsid w:val="0043103B"/>
    <w:rsid w:val="00431E6C"/>
    <w:rsid w:val="00432443"/>
    <w:rsid w:val="004325DB"/>
    <w:rsid w:val="00433CE7"/>
    <w:rsid w:val="00434B7C"/>
    <w:rsid w:val="004350EA"/>
    <w:rsid w:val="004407FD"/>
    <w:rsid w:val="00442E95"/>
    <w:rsid w:val="0044522C"/>
    <w:rsid w:val="00445D05"/>
    <w:rsid w:val="0044602C"/>
    <w:rsid w:val="004460EA"/>
    <w:rsid w:val="00451BFD"/>
    <w:rsid w:val="00452738"/>
    <w:rsid w:val="0045362A"/>
    <w:rsid w:val="004538E6"/>
    <w:rsid w:val="004543EE"/>
    <w:rsid w:val="00456091"/>
    <w:rsid w:val="004565E6"/>
    <w:rsid w:val="00461ACA"/>
    <w:rsid w:val="00462E1A"/>
    <w:rsid w:val="00464AF0"/>
    <w:rsid w:val="00466321"/>
    <w:rsid w:val="00470B22"/>
    <w:rsid w:val="004719F7"/>
    <w:rsid w:val="00472104"/>
    <w:rsid w:val="0047233A"/>
    <w:rsid w:val="0047465F"/>
    <w:rsid w:val="004746E5"/>
    <w:rsid w:val="00474A27"/>
    <w:rsid w:val="00476644"/>
    <w:rsid w:val="004806CF"/>
    <w:rsid w:val="004813C2"/>
    <w:rsid w:val="00482421"/>
    <w:rsid w:val="00484771"/>
    <w:rsid w:val="00484B9B"/>
    <w:rsid w:val="004851DD"/>
    <w:rsid w:val="004855F6"/>
    <w:rsid w:val="0048661E"/>
    <w:rsid w:val="00487726"/>
    <w:rsid w:val="00491F84"/>
    <w:rsid w:val="004929BB"/>
    <w:rsid w:val="00492C80"/>
    <w:rsid w:val="00494670"/>
    <w:rsid w:val="00494739"/>
    <w:rsid w:val="004A04DA"/>
    <w:rsid w:val="004A1E3E"/>
    <w:rsid w:val="004A2FFB"/>
    <w:rsid w:val="004A3766"/>
    <w:rsid w:val="004A3823"/>
    <w:rsid w:val="004A3BEC"/>
    <w:rsid w:val="004A4656"/>
    <w:rsid w:val="004B2FA9"/>
    <w:rsid w:val="004B34AD"/>
    <w:rsid w:val="004B382C"/>
    <w:rsid w:val="004B4A11"/>
    <w:rsid w:val="004B5F37"/>
    <w:rsid w:val="004B7FD3"/>
    <w:rsid w:val="004C1462"/>
    <w:rsid w:val="004C59A1"/>
    <w:rsid w:val="004D183C"/>
    <w:rsid w:val="004D2595"/>
    <w:rsid w:val="004D33C1"/>
    <w:rsid w:val="004D3980"/>
    <w:rsid w:val="004D4ACF"/>
    <w:rsid w:val="004E07F9"/>
    <w:rsid w:val="004E5870"/>
    <w:rsid w:val="004E6946"/>
    <w:rsid w:val="004E6FA2"/>
    <w:rsid w:val="004F01D3"/>
    <w:rsid w:val="004F1AD8"/>
    <w:rsid w:val="004F27C3"/>
    <w:rsid w:val="004F3160"/>
    <w:rsid w:val="004F5379"/>
    <w:rsid w:val="004F59DA"/>
    <w:rsid w:val="004F5D59"/>
    <w:rsid w:val="005009B1"/>
    <w:rsid w:val="00501CAE"/>
    <w:rsid w:val="005039CB"/>
    <w:rsid w:val="0050558F"/>
    <w:rsid w:val="00506286"/>
    <w:rsid w:val="00510813"/>
    <w:rsid w:val="00511990"/>
    <w:rsid w:val="00511DE0"/>
    <w:rsid w:val="00513609"/>
    <w:rsid w:val="00514097"/>
    <w:rsid w:val="00514578"/>
    <w:rsid w:val="0051479C"/>
    <w:rsid w:val="005147E0"/>
    <w:rsid w:val="00514870"/>
    <w:rsid w:val="00514B9B"/>
    <w:rsid w:val="00515649"/>
    <w:rsid w:val="005169ED"/>
    <w:rsid w:val="00517490"/>
    <w:rsid w:val="00517F02"/>
    <w:rsid w:val="00520BD4"/>
    <w:rsid w:val="00521550"/>
    <w:rsid w:val="00522F42"/>
    <w:rsid w:val="005236BB"/>
    <w:rsid w:val="00523C27"/>
    <w:rsid w:val="00524303"/>
    <w:rsid w:val="00524879"/>
    <w:rsid w:val="005258A2"/>
    <w:rsid w:val="00526FE2"/>
    <w:rsid w:val="005274B5"/>
    <w:rsid w:val="005306BC"/>
    <w:rsid w:val="00530A59"/>
    <w:rsid w:val="00534846"/>
    <w:rsid w:val="005363B9"/>
    <w:rsid w:val="00537199"/>
    <w:rsid w:val="005374FE"/>
    <w:rsid w:val="005401AE"/>
    <w:rsid w:val="005407A5"/>
    <w:rsid w:val="00540C18"/>
    <w:rsid w:val="00541BD8"/>
    <w:rsid w:val="00542E07"/>
    <w:rsid w:val="00543E92"/>
    <w:rsid w:val="005440ED"/>
    <w:rsid w:val="005450BE"/>
    <w:rsid w:val="00545424"/>
    <w:rsid w:val="00553C1B"/>
    <w:rsid w:val="00554A7B"/>
    <w:rsid w:val="0055572C"/>
    <w:rsid w:val="00555E42"/>
    <w:rsid w:val="005567FC"/>
    <w:rsid w:val="0056106A"/>
    <w:rsid w:val="005619EA"/>
    <w:rsid w:val="00561D9A"/>
    <w:rsid w:val="005651A8"/>
    <w:rsid w:val="005672EB"/>
    <w:rsid w:val="00567408"/>
    <w:rsid w:val="00570138"/>
    <w:rsid w:val="005720AE"/>
    <w:rsid w:val="00573FC4"/>
    <w:rsid w:val="0057400C"/>
    <w:rsid w:val="005769A8"/>
    <w:rsid w:val="00577C27"/>
    <w:rsid w:val="00580A33"/>
    <w:rsid w:val="00583D0D"/>
    <w:rsid w:val="00586F85"/>
    <w:rsid w:val="00587014"/>
    <w:rsid w:val="00590F37"/>
    <w:rsid w:val="00591421"/>
    <w:rsid w:val="0059461F"/>
    <w:rsid w:val="00594D77"/>
    <w:rsid w:val="00596473"/>
    <w:rsid w:val="005969E4"/>
    <w:rsid w:val="005A01DF"/>
    <w:rsid w:val="005A06B7"/>
    <w:rsid w:val="005A0FEB"/>
    <w:rsid w:val="005A1759"/>
    <w:rsid w:val="005A5C44"/>
    <w:rsid w:val="005A5CAB"/>
    <w:rsid w:val="005A5FE0"/>
    <w:rsid w:val="005A649C"/>
    <w:rsid w:val="005A68A7"/>
    <w:rsid w:val="005A757A"/>
    <w:rsid w:val="005B003E"/>
    <w:rsid w:val="005B0206"/>
    <w:rsid w:val="005B10A5"/>
    <w:rsid w:val="005B2017"/>
    <w:rsid w:val="005B37A2"/>
    <w:rsid w:val="005B4DC1"/>
    <w:rsid w:val="005B4DEA"/>
    <w:rsid w:val="005C0FD9"/>
    <w:rsid w:val="005C14AE"/>
    <w:rsid w:val="005C1D8F"/>
    <w:rsid w:val="005C25C7"/>
    <w:rsid w:val="005C4DAC"/>
    <w:rsid w:val="005C6C27"/>
    <w:rsid w:val="005C72BF"/>
    <w:rsid w:val="005C72EA"/>
    <w:rsid w:val="005D0CCE"/>
    <w:rsid w:val="005D24A2"/>
    <w:rsid w:val="005D36AB"/>
    <w:rsid w:val="005D3E02"/>
    <w:rsid w:val="005D7BA5"/>
    <w:rsid w:val="005E0A5B"/>
    <w:rsid w:val="005E0B95"/>
    <w:rsid w:val="005E0F0E"/>
    <w:rsid w:val="005E1236"/>
    <w:rsid w:val="005E14E3"/>
    <w:rsid w:val="005E2106"/>
    <w:rsid w:val="005E21FE"/>
    <w:rsid w:val="005E4F63"/>
    <w:rsid w:val="005E5652"/>
    <w:rsid w:val="005E5A26"/>
    <w:rsid w:val="005E5ABE"/>
    <w:rsid w:val="005E694C"/>
    <w:rsid w:val="005E6D3D"/>
    <w:rsid w:val="005E6F0D"/>
    <w:rsid w:val="005E7A58"/>
    <w:rsid w:val="005F0EC0"/>
    <w:rsid w:val="005F1584"/>
    <w:rsid w:val="005F163F"/>
    <w:rsid w:val="005F3931"/>
    <w:rsid w:val="005F39CB"/>
    <w:rsid w:val="005F646F"/>
    <w:rsid w:val="005F73B6"/>
    <w:rsid w:val="005F7E6D"/>
    <w:rsid w:val="00601961"/>
    <w:rsid w:val="0060573B"/>
    <w:rsid w:val="006076D7"/>
    <w:rsid w:val="006101FE"/>
    <w:rsid w:val="00610DB3"/>
    <w:rsid w:val="00610E0F"/>
    <w:rsid w:val="006114BD"/>
    <w:rsid w:val="00612DA5"/>
    <w:rsid w:val="006156AE"/>
    <w:rsid w:val="00615FBF"/>
    <w:rsid w:val="006166EE"/>
    <w:rsid w:val="006176DE"/>
    <w:rsid w:val="00617CC3"/>
    <w:rsid w:val="006228AB"/>
    <w:rsid w:val="00627EDD"/>
    <w:rsid w:val="00632391"/>
    <w:rsid w:val="006343C5"/>
    <w:rsid w:val="0063469B"/>
    <w:rsid w:val="00636B68"/>
    <w:rsid w:val="006377A6"/>
    <w:rsid w:val="00637A3D"/>
    <w:rsid w:val="0064025F"/>
    <w:rsid w:val="00640F62"/>
    <w:rsid w:val="00640FF9"/>
    <w:rsid w:val="006411EF"/>
    <w:rsid w:val="00643871"/>
    <w:rsid w:val="00643DA7"/>
    <w:rsid w:val="00644FFA"/>
    <w:rsid w:val="00645896"/>
    <w:rsid w:val="00647FC5"/>
    <w:rsid w:val="00651D32"/>
    <w:rsid w:val="00653447"/>
    <w:rsid w:val="00653745"/>
    <w:rsid w:val="00653E7E"/>
    <w:rsid w:val="00654888"/>
    <w:rsid w:val="00654C83"/>
    <w:rsid w:val="00655C94"/>
    <w:rsid w:val="006566A5"/>
    <w:rsid w:val="00660344"/>
    <w:rsid w:val="006624F1"/>
    <w:rsid w:val="00662F30"/>
    <w:rsid w:val="00663B1B"/>
    <w:rsid w:val="00663F5A"/>
    <w:rsid w:val="00664389"/>
    <w:rsid w:val="006667F6"/>
    <w:rsid w:val="006674C9"/>
    <w:rsid w:val="006675AE"/>
    <w:rsid w:val="00667FB3"/>
    <w:rsid w:val="00670CEC"/>
    <w:rsid w:val="00671355"/>
    <w:rsid w:val="0067171D"/>
    <w:rsid w:val="00672CF1"/>
    <w:rsid w:val="006748B8"/>
    <w:rsid w:val="0067652E"/>
    <w:rsid w:val="006775C3"/>
    <w:rsid w:val="0068474E"/>
    <w:rsid w:val="00686EB0"/>
    <w:rsid w:val="0068727E"/>
    <w:rsid w:val="00690285"/>
    <w:rsid w:val="0069290A"/>
    <w:rsid w:val="00692EA5"/>
    <w:rsid w:val="00693DB6"/>
    <w:rsid w:val="00695385"/>
    <w:rsid w:val="00697069"/>
    <w:rsid w:val="0069775A"/>
    <w:rsid w:val="00697813"/>
    <w:rsid w:val="006A3EE8"/>
    <w:rsid w:val="006A6800"/>
    <w:rsid w:val="006A7251"/>
    <w:rsid w:val="006A72BF"/>
    <w:rsid w:val="006A731B"/>
    <w:rsid w:val="006A7A78"/>
    <w:rsid w:val="006B03F2"/>
    <w:rsid w:val="006B2A97"/>
    <w:rsid w:val="006B37DC"/>
    <w:rsid w:val="006B4F68"/>
    <w:rsid w:val="006B709F"/>
    <w:rsid w:val="006C02D5"/>
    <w:rsid w:val="006C044A"/>
    <w:rsid w:val="006C0592"/>
    <w:rsid w:val="006C272E"/>
    <w:rsid w:val="006C30E0"/>
    <w:rsid w:val="006C4328"/>
    <w:rsid w:val="006C46B0"/>
    <w:rsid w:val="006C5479"/>
    <w:rsid w:val="006C63FF"/>
    <w:rsid w:val="006C7113"/>
    <w:rsid w:val="006C7CAA"/>
    <w:rsid w:val="006D0AC2"/>
    <w:rsid w:val="006D13B5"/>
    <w:rsid w:val="006D2595"/>
    <w:rsid w:val="006D4DFC"/>
    <w:rsid w:val="006D582F"/>
    <w:rsid w:val="006D5D34"/>
    <w:rsid w:val="006D6712"/>
    <w:rsid w:val="006E12FF"/>
    <w:rsid w:val="006E2077"/>
    <w:rsid w:val="006E2DA1"/>
    <w:rsid w:val="006E3BB0"/>
    <w:rsid w:val="006E4B32"/>
    <w:rsid w:val="006E50BA"/>
    <w:rsid w:val="006E5DB7"/>
    <w:rsid w:val="006E607E"/>
    <w:rsid w:val="006E6D87"/>
    <w:rsid w:val="006F26FB"/>
    <w:rsid w:val="006F3D72"/>
    <w:rsid w:val="006F7831"/>
    <w:rsid w:val="007013B0"/>
    <w:rsid w:val="007051BE"/>
    <w:rsid w:val="00706C5D"/>
    <w:rsid w:val="00707F90"/>
    <w:rsid w:val="00710A0A"/>
    <w:rsid w:val="007111D9"/>
    <w:rsid w:val="00711B4F"/>
    <w:rsid w:val="0071349A"/>
    <w:rsid w:val="007158BC"/>
    <w:rsid w:val="00716DFF"/>
    <w:rsid w:val="00717685"/>
    <w:rsid w:val="007224DD"/>
    <w:rsid w:val="00730353"/>
    <w:rsid w:val="00730B40"/>
    <w:rsid w:val="00731529"/>
    <w:rsid w:val="007324CC"/>
    <w:rsid w:val="00732922"/>
    <w:rsid w:val="007335ED"/>
    <w:rsid w:val="00734D9A"/>
    <w:rsid w:val="00735076"/>
    <w:rsid w:val="007373BC"/>
    <w:rsid w:val="00740028"/>
    <w:rsid w:val="0074330F"/>
    <w:rsid w:val="007444EB"/>
    <w:rsid w:val="007447C6"/>
    <w:rsid w:val="00750D2E"/>
    <w:rsid w:val="0075162E"/>
    <w:rsid w:val="00751DE3"/>
    <w:rsid w:val="00752B27"/>
    <w:rsid w:val="0075305D"/>
    <w:rsid w:val="00754034"/>
    <w:rsid w:val="0075577B"/>
    <w:rsid w:val="007564DD"/>
    <w:rsid w:val="00756556"/>
    <w:rsid w:val="007573F1"/>
    <w:rsid w:val="00757851"/>
    <w:rsid w:val="00760293"/>
    <w:rsid w:val="0076049E"/>
    <w:rsid w:val="00760E5C"/>
    <w:rsid w:val="007618C4"/>
    <w:rsid w:val="007626ED"/>
    <w:rsid w:val="00762D17"/>
    <w:rsid w:val="007647DA"/>
    <w:rsid w:val="00764D2B"/>
    <w:rsid w:val="00767980"/>
    <w:rsid w:val="00770B19"/>
    <w:rsid w:val="00770DF3"/>
    <w:rsid w:val="007714FD"/>
    <w:rsid w:val="00771AE6"/>
    <w:rsid w:val="007737E4"/>
    <w:rsid w:val="0077450D"/>
    <w:rsid w:val="0077463F"/>
    <w:rsid w:val="007746AF"/>
    <w:rsid w:val="00775577"/>
    <w:rsid w:val="00776BA3"/>
    <w:rsid w:val="00777603"/>
    <w:rsid w:val="007776DE"/>
    <w:rsid w:val="007818FA"/>
    <w:rsid w:val="00781F03"/>
    <w:rsid w:val="00783520"/>
    <w:rsid w:val="007836EA"/>
    <w:rsid w:val="00784CDA"/>
    <w:rsid w:val="007864F1"/>
    <w:rsid w:val="00787EF0"/>
    <w:rsid w:val="007906C4"/>
    <w:rsid w:val="00793292"/>
    <w:rsid w:val="007932CA"/>
    <w:rsid w:val="007940CD"/>
    <w:rsid w:val="007940EA"/>
    <w:rsid w:val="00794F9F"/>
    <w:rsid w:val="00796337"/>
    <w:rsid w:val="007967E8"/>
    <w:rsid w:val="00796934"/>
    <w:rsid w:val="0079700D"/>
    <w:rsid w:val="007A2170"/>
    <w:rsid w:val="007A22BF"/>
    <w:rsid w:val="007A3323"/>
    <w:rsid w:val="007A3C85"/>
    <w:rsid w:val="007A62A6"/>
    <w:rsid w:val="007B297C"/>
    <w:rsid w:val="007B325D"/>
    <w:rsid w:val="007B33D3"/>
    <w:rsid w:val="007B3D26"/>
    <w:rsid w:val="007B3F13"/>
    <w:rsid w:val="007B5220"/>
    <w:rsid w:val="007B72B8"/>
    <w:rsid w:val="007B7A58"/>
    <w:rsid w:val="007C21B5"/>
    <w:rsid w:val="007C25D5"/>
    <w:rsid w:val="007C3C8A"/>
    <w:rsid w:val="007C4AC4"/>
    <w:rsid w:val="007C5096"/>
    <w:rsid w:val="007C50B5"/>
    <w:rsid w:val="007C56D5"/>
    <w:rsid w:val="007C7B8F"/>
    <w:rsid w:val="007C7EDC"/>
    <w:rsid w:val="007D02D5"/>
    <w:rsid w:val="007D06C0"/>
    <w:rsid w:val="007D256C"/>
    <w:rsid w:val="007D25B1"/>
    <w:rsid w:val="007D4675"/>
    <w:rsid w:val="007D5C3C"/>
    <w:rsid w:val="007D62E0"/>
    <w:rsid w:val="007D65FA"/>
    <w:rsid w:val="007D74BE"/>
    <w:rsid w:val="007E0741"/>
    <w:rsid w:val="007E0AA4"/>
    <w:rsid w:val="007E1D72"/>
    <w:rsid w:val="007E2A3C"/>
    <w:rsid w:val="007E4BD2"/>
    <w:rsid w:val="007E5687"/>
    <w:rsid w:val="007E70D4"/>
    <w:rsid w:val="007F0133"/>
    <w:rsid w:val="007F0D65"/>
    <w:rsid w:val="007F123F"/>
    <w:rsid w:val="007F2213"/>
    <w:rsid w:val="007F329E"/>
    <w:rsid w:val="007F6E32"/>
    <w:rsid w:val="007F7815"/>
    <w:rsid w:val="007F7929"/>
    <w:rsid w:val="007F7B3B"/>
    <w:rsid w:val="008006FE"/>
    <w:rsid w:val="00801393"/>
    <w:rsid w:val="00801B31"/>
    <w:rsid w:val="00802C92"/>
    <w:rsid w:val="00802CD0"/>
    <w:rsid w:val="00802F88"/>
    <w:rsid w:val="00805310"/>
    <w:rsid w:val="00806767"/>
    <w:rsid w:val="0081293E"/>
    <w:rsid w:val="0081445B"/>
    <w:rsid w:val="00815465"/>
    <w:rsid w:val="00817E9A"/>
    <w:rsid w:val="008258BD"/>
    <w:rsid w:val="00830309"/>
    <w:rsid w:val="0083068E"/>
    <w:rsid w:val="008306BD"/>
    <w:rsid w:val="0083161E"/>
    <w:rsid w:val="00831A80"/>
    <w:rsid w:val="008322EB"/>
    <w:rsid w:val="00833743"/>
    <w:rsid w:val="00833BCC"/>
    <w:rsid w:val="008340A4"/>
    <w:rsid w:val="00834A2A"/>
    <w:rsid w:val="00836507"/>
    <w:rsid w:val="008366C0"/>
    <w:rsid w:val="0083703F"/>
    <w:rsid w:val="00840795"/>
    <w:rsid w:val="008409B6"/>
    <w:rsid w:val="00840B47"/>
    <w:rsid w:val="00843800"/>
    <w:rsid w:val="00843CCD"/>
    <w:rsid w:val="00853041"/>
    <w:rsid w:val="00855155"/>
    <w:rsid w:val="00855CB7"/>
    <w:rsid w:val="0085632A"/>
    <w:rsid w:val="00857050"/>
    <w:rsid w:val="00864317"/>
    <w:rsid w:val="0086496D"/>
    <w:rsid w:val="00864B33"/>
    <w:rsid w:val="008677E6"/>
    <w:rsid w:val="00870ED9"/>
    <w:rsid w:val="0087135F"/>
    <w:rsid w:val="00872D94"/>
    <w:rsid w:val="00873609"/>
    <w:rsid w:val="00877C90"/>
    <w:rsid w:val="00880364"/>
    <w:rsid w:val="00881FDB"/>
    <w:rsid w:val="00883B17"/>
    <w:rsid w:val="008844FD"/>
    <w:rsid w:val="008873C7"/>
    <w:rsid w:val="00891592"/>
    <w:rsid w:val="00891E9E"/>
    <w:rsid w:val="0089298E"/>
    <w:rsid w:val="00892D78"/>
    <w:rsid w:val="008938AC"/>
    <w:rsid w:val="00894BF6"/>
    <w:rsid w:val="008951D9"/>
    <w:rsid w:val="00895639"/>
    <w:rsid w:val="0089768D"/>
    <w:rsid w:val="008A255C"/>
    <w:rsid w:val="008A2AE8"/>
    <w:rsid w:val="008A2F68"/>
    <w:rsid w:val="008A36E8"/>
    <w:rsid w:val="008A4335"/>
    <w:rsid w:val="008A52E5"/>
    <w:rsid w:val="008B011A"/>
    <w:rsid w:val="008B0722"/>
    <w:rsid w:val="008B4864"/>
    <w:rsid w:val="008B4D6C"/>
    <w:rsid w:val="008B4FA6"/>
    <w:rsid w:val="008B507F"/>
    <w:rsid w:val="008B5282"/>
    <w:rsid w:val="008B606C"/>
    <w:rsid w:val="008B65DC"/>
    <w:rsid w:val="008B7C17"/>
    <w:rsid w:val="008C1732"/>
    <w:rsid w:val="008C2B2E"/>
    <w:rsid w:val="008C2D01"/>
    <w:rsid w:val="008C40E6"/>
    <w:rsid w:val="008C446F"/>
    <w:rsid w:val="008C4E45"/>
    <w:rsid w:val="008C653F"/>
    <w:rsid w:val="008C71FF"/>
    <w:rsid w:val="008C7327"/>
    <w:rsid w:val="008D0399"/>
    <w:rsid w:val="008D0F7A"/>
    <w:rsid w:val="008D3B2F"/>
    <w:rsid w:val="008D68E4"/>
    <w:rsid w:val="008D708D"/>
    <w:rsid w:val="008E0506"/>
    <w:rsid w:val="008E0AC5"/>
    <w:rsid w:val="008E0CFF"/>
    <w:rsid w:val="008E2834"/>
    <w:rsid w:val="008E3EC7"/>
    <w:rsid w:val="008E50D2"/>
    <w:rsid w:val="008E559F"/>
    <w:rsid w:val="008E55AB"/>
    <w:rsid w:val="008E5D6B"/>
    <w:rsid w:val="008E67E0"/>
    <w:rsid w:val="008E71C5"/>
    <w:rsid w:val="008E76F0"/>
    <w:rsid w:val="008F15FE"/>
    <w:rsid w:val="008F2B3B"/>
    <w:rsid w:val="008F2D29"/>
    <w:rsid w:val="008F4478"/>
    <w:rsid w:val="008F5187"/>
    <w:rsid w:val="008F60D8"/>
    <w:rsid w:val="008F6B93"/>
    <w:rsid w:val="008F7A37"/>
    <w:rsid w:val="00902727"/>
    <w:rsid w:val="009027FD"/>
    <w:rsid w:val="0090312B"/>
    <w:rsid w:val="00904728"/>
    <w:rsid w:val="009055E8"/>
    <w:rsid w:val="009058C1"/>
    <w:rsid w:val="0090790E"/>
    <w:rsid w:val="00910F89"/>
    <w:rsid w:val="009134D7"/>
    <w:rsid w:val="00914E44"/>
    <w:rsid w:val="009158EE"/>
    <w:rsid w:val="00915C29"/>
    <w:rsid w:val="00915E8D"/>
    <w:rsid w:val="00916F04"/>
    <w:rsid w:val="0091736D"/>
    <w:rsid w:val="0091775B"/>
    <w:rsid w:val="00917A6A"/>
    <w:rsid w:val="00924502"/>
    <w:rsid w:val="009248E5"/>
    <w:rsid w:val="00925044"/>
    <w:rsid w:val="0092710A"/>
    <w:rsid w:val="0093037A"/>
    <w:rsid w:val="00930ACC"/>
    <w:rsid w:val="00931667"/>
    <w:rsid w:val="00935C86"/>
    <w:rsid w:val="0093701D"/>
    <w:rsid w:val="009372CE"/>
    <w:rsid w:val="00937D32"/>
    <w:rsid w:val="00940701"/>
    <w:rsid w:val="00940839"/>
    <w:rsid w:val="0094154D"/>
    <w:rsid w:val="00942F33"/>
    <w:rsid w:val="0094356A"/>
    <w:rsid w:val="009446BD"/>
    <w:rsid w:val="00944DD2"/>
    <w:rsid w:val="00945942"/>
    <w:rsid w:val="009511FA"/>
    <w:rsid w:val="0095155F"/>
    <w:rsid w:val="00952934"/>
    <w:rsid w:val="009537CB"/>
    <w:rsid w:val="00954429"/>
    <w:rsid w:val="009553D3"/>
    <w:rsid w:val="009563CE"/>
    <w:rsid w:val="009617C9"/>
    <w:rsid w:val="00961BB5"/>
    <w:rsid w:val="0096619A"/>
    <w:rsid w:val="00966D91"/>
    <w:rsid w:val="0096725D"/>
    <w:rsid w:val="0097080D"/>
    <w:rsid w:val="0097137F"/>
    <w:rsid w:val="009739D2"/>
    <w:rsid w:val="009742FE"/>
    <w:rsid w:val="00974B60"/>
    <w:rsid w:val="009751FD"/>
    <w:rsid w:val="00976328"/>
    <w:rsid w:val="0097680D"/>
    <w:rsid w:val="009802C1"/>
    <w:rsid w:val="009814BD"/>
    <w:rsid w:val="00982438"/>
    <w:rsid w:val="009834EF"/>
    <w:rsid w:val="0098404C"/>
    <w:rsid w:val="00985283"/>
    <w:rsid w:val="0098700A"/>
    <w:rsid w:val="00987A82"/>
    <w:rsid w:val="00987C58"/>
    <w:rsid w:val="0099012C"/>
    <w:rsid w:val="00992A9C"/>
    <w:rsid w:val="00993A7B"/>
    <w:rsid w:val="009953B5"/>
    <w:rsid w:val="00995992"/>
    <w:rsid w:val="00996022"/>
    <w:rsid w:val="009A03E5"/>
    <w:rsid w:val="009A0780"/>
    <w:rsid w:val="009A0F3B"/>
    <w:rsid w:val="009A1BB4"/>
    <w:rsid w:val="009A2628"/>
    <w:rsid w:val="009A3200"/>
    <w:rsid w:val="009A3596"/>
    <w:rsid w:val="009A4A0A"/>
    <w:rsid w:val="009A6B7B"/>
    <w:rsid w:val="009A75C3"/>
    <w:rsid w:val="009B0897"/>
    <w:rsid w:val="009B0D69"/>
    <w:rsid w:val="009B1BA5"/>
    <w:rsid w:val="009B2C50"/>
    <w:rsid w:val="009B780E"/>
    <w:rsid w:val="009B7BD9"/>
    <w:rsid w:val="009C1D10"/>
    <w:rsid w:val="009C1D92"/>
    <w:rsid w:val="009C462D"/>
    <w:rsid w:val="009C68CA"/>
    <w:rsid w:val="009C76F8"/>
    <w:rsid w:val="009C7AB4"/>
    <w:rsid w:val="009C7DD5"/>
    <w:rsid w:val="009D3497"/>
    <w:rsid w:val="009D3CE7"/>
    <w:rsid w:val="009D537E"/>
    <w:rsid w:val="009D5FEA"/>
    <w:rsid w:val="009D7569"/>
    <w:rsid w:val="009D7D5A"/>
    <w:rsid w:val="009E0EC4"/>
    <w:rsid w:val="009E227D"/>
    <w:rsid w:val="009E29F3"/>
    <w:rsid w:val="009E2CBF"/>
    <w:rsid w:val="009E3B16"/>
    <w:rsid w:val="009E40CF"/>
    <w:rsid w:val="009E5019"/>
    <w:rsid w:val="009E7188"/>
    <w:rsid w:val="009F3160"/>
    <w:rsid w:val="009F43B3"/>
    <w:rsid w:val="009F4CB7"/>
    <w:rsid w:val="009F5EE8"/>
    <w:rsid w:val="009F6444"/>
    <w:rsid w:val="00A00E4A"/>
    <w:rsid w:val="00A0148B"/>
    <w:rsid w:val="00A018B7"/>
    <w:rsid w:val="00A02C61"/>
    <w:rsid w:val="00A04F1B"/>
    <w:rsid w:val="00A0501B"/>
    <w:rsid w:val="00A0571C"/>
    <w:rsid w:val="00A0715C"/>
    <w:rsid w:val="00A0774E"/>
    <w:rsid w:val="00A10036"/>
    <w:rsid w:val="00A10B68"/>
    <w:rsid w:val="00A125FE"/>
    <w:rsid w:val="00A12B79"/>
    <w:rsid w:val="00A12E05"/>
    <w:rsid w:val="00A136BD"/>
    <w:rsid w:val="00A138C9"/>
    <w:rsid w:val="00A14947"/>
    <w:rsid w:val="00A15B96"/>
    <w:rsid w:val="00A16189"/>
    <w:rsid w:val="00A17A14"/>
    <w:rsid w:val="00A217D0"/>
    <w:rsid w:val="00A220EE"/>
    <w:rsid w:val="00A22EDB"/>
    <w:rsid w:val="00A23BD5"/>
    <w:rsid w:val="00A23C78"/>
    <w:rsid w:val="00A241CF"/>
    <w:rsid w:val="00A2689D"/>
    <w:rsid w:val="00A3077B"/>
    <w:rsid w:val="00A32A83"/>
    <w:rsid w:val="00A35C80"/>
    <w:rsid w:val="00A368DB"/>
    <w:rsid w:val="00A41AC5"/>
    <w:rsid w:val="00A423AA"/>
    <w:rsid w:val="00A42F3F"/>
    <w:rsid w:val="00A43835"/>
    <w:rsid w:val="00A440F4"/>
    <w:rsid w:val="00A44D67"/>
    <w:rsid w:val="00A47DE3"/>
    <w:rsid w:val="00A47E48"/>
    <w:rsid w:val="00A51B82"/>
    <w:rsid w:val="00A52073"/>
    <w:rsid w:val="00A53ADD"/>
    <w:rsid w:val="00A53EC6"/>
    <w:rsid w:val="00A54007"/>
    <w:rsid w:val="00A54F2C"/>
    <w:rsid w:val="00A5567E"/>
    <w:rsid w:val="00A55C0F"/>
    <w:rsid w:val="00A55CB7"/>
    <w:rsid w:val="00A57042"/>
    <w:rsid w:val="00A62C2E"/>
    <w:rsid w:val="00A642D1"/>
    <w:rsid w:val="00A64E20"/>
    <w:rsid w:val="00A67547"/>
    <w:rsid w:val="00A67F18"/>
    <w:rsid w:val="00A70137"/>
    <w:rsid w:val="00A70F66"/>
    <w:rsid w:val="00A729D1"/>
    <w:rsid w:val="00A76686"/>
    <w:rsid w:val="00A7790B"/>
    <w:rsid w:val="00A77B7C"/>
    <w:rsid w:val="00A809EE"/>
    <w:rsid w:val="00A82E8B"/>
    <w:rsid w:val="00A84229"/>
    <w:rsid w:val="00A8674A"/>
    <w:rsid w:val="00A86EAC"/>
    <w:rsid w:val="00A8713F"/>
    <w:rsid w:val="00A90BA1"/>
    <w:rsid w:val="00A91695"/>
    <w:rsid w:val="00A91F86"/>
    <w:rsid w:val="00A929E8"/>
    <w:rsid w:val="00A95D4C"/>
    <w:rsid w:val="00A963EA"/>
    <w:rsid w:val="00A97A9A"/>
    <w:rsid w:val="00AA0081"/>
    <w:rsid w:val="00AA042C"/>
    <w:rsid w:val="00AA0671"/>
    <w:rsid w:val="00AA078F"/>
    <w:rsid w:val="00AA2531"/>
    <w:rsid w:val="00AA422A"/>
    <w:rsid w:val="00AA4EE4"/>
    <w:rsid w:val="00AA546A"/>
    <w:rsid w:val="00AB02AF"/>
    <w:rsid w:val="00AB17CD"/>
    <w:rsid w:val="00AB1E09"/>
    <w:rsid w:val="00AB5330"/>
    <w:rsid w:val="00AB7747"/>
    <w:rsid w:val="00AC14CE"/>
    <w:rsid w:val="00AC26DF"/>
    <w:rsid w:val="00AC2801"/>
    <w:rsid w:val="00AC2A56"/>
    <w:rsid w:val="00AC39BF"/>
    <w:rsid w:val="00AC5097"/>
    <w:rsid w:val="00AC6F63"/>
    <w:rsid w:val="00AD055E"/>
    <w:rsid w:val="00AD1675"/>
    <w:rsid w:val="00AD16CE"/>
    <w:rsid w:val="00AD3F7C"/>
    <w:rsid w:val="00AD47A7"/>
    <w:rsid w:val="00AD5EFC"/>
    <w:rsid w:val="00AD7519"/>
    <w:rsid w:val="00AE014F"/>
    <w:rsid w:val="00AE37C0"/>
    <w:rsid w:val="00AE4548"/>
    <w:rsid w:val="00AE5418"/>
    <w:rsid w:val="00AE6F26"/>
    <w:rsid w:val="00AF0CBF"/>
    <w:rsid w:val="00AF1355"/>
    <w:rsid w:val="00AF257F"/>
    <w:rsid w:val="00AF327A"/>
    <w:rsid w:val="00AF33CF"/>
    <w:rsid w:val="00AF4A06"/>
    <w:rsid w:val="00AF4D50"/>
    <w:rsid w:val="00AF6179"/>
    <w:rsid w:val="00AF6458"/>
    <w:rsid w:val="00AF6F99"/>
    <w:rsid w:val="00B0097B"/>
    <w:rsid w:val="00B00CAB"/>
    <w:rsid w:val="00B02C0A"/>
    <w:rsid w:val="00B03EB0"/>
    <w:rsid w:val="00B07FBD"/>
    <w:rsid w:val="00B10798"/>
    <w:rsid w:val="00B111F4"/>
    <w:rsid w:val="00B1134C"/>
    <w:rsid w:val="00B1295A"/>
    <w:rsid w:val="00B12B41"/>
    <w:rsid w:val="00B13209"/>
    <w:rsid w:val="00B17068"/>
    <w:rsid w:val="00B20A45"/>
    <w:rsid w:val="00B21C44"/>
    <w:rsid w:val="00B22368"/>
    <w:rsid w:val="00B22C5C"/>
    <w:rsid w:val="00B23943"/>
    <w:rsid w:val="00B2444C"/>
    <w:rsid w:val="00B24F30"/>
    <w:rsid w:val="00B24F32"/>
    <w:rsid w:val="00B25255"/>
    <w:rsid w:val="00B31A9D"/>
    <w:rsid w:val="00B31ABF"/>
    <w:rsid w:val="00B32CC3"/>
    <w:rsid w:val="00B3331A"/>
    <w:rsid w:val="00B33BE3"/>
    <w:rsid w:val="00B342F7"/>
    <w:rsid w:val="00B34CB7"/>
    <w:rsid w:val="00B37C8A"/>
    <w:rsid w:val="00B41631"/>
    <w:rsid w:val="00B4434E"/>
    <w:rsid w:val="00B4439A"/>
    <w:rsid w:val="00B459BE"/>
    <w:rsid w:val="00B500AD"/>
    <w:rsid w:val="00B51841"/>
    <w:rsid w:val="00B53B5D"/>
    <w:rsid w:val="00B542A8"/>
    <w:rsid w:val="00B5685F"/>
    <w:rsid w:val="00B57A76"/>
    <w:rsid w:val="00B6055E"/>
    <w:rsid w:val="00B61340"/>
    <w:rsid w:val="00B6317D"/>
    <w:rsid w:val="00B6456A"/>
    <w:rsid w:val="00B67349"/>
    <w:rsid w:val="00B675A1"/>
    <w:rsid w:val="00B67810"/>
    <w:rsid w:val="00B74A10"/>
    <w:rsid w:val="00B75102"/>
    <w:rsid w:val="00B75DAD"/>
    <w:rsid w:val="00B7723F"/>
    <w:rsid w:val="00B77561"/>
    <w:rsid w:val="00B80534"/>
    <w:rsid w:val="00B8059A"/>
    <w:rsid w:val="00B80D8C"/>
    <w:rsid w:val="00B81A73"/>
    <w:rsid w:val="00B83F28"/>
    <w:rsid w:val="00B8433C"/>
    <w:rsid w:val="00B843C9"/>
    <w:rsid w:val="00B8556D"/>
    <w:rsid w:val="00B8682A"/>
    <w:rsid w:val="00B870C0"/>
    <w:rsid w:val="00B87491"/>
    <w:rsid w:val="00B87EB3"/>
    <w:rsid w:val="00B91BC3"/>
    <w:rsid w:val="00B92053"/>
    <w:rsid w:val="00B92E6C"/>
    <w:rsid w:val="00B92F15"/>
    <w:rsid w:val="00B93EAF"/>
    <w:rsid w:val="00B942D3"/>
    <w:rsid w:val="00B96A59"/>
    <w:rsid w:val="00B96F91"/>
    <w:rsid w:val="00BA29E9"/>
    <w:rsid w:val="00BA2EE7"/>
    <w:rsid w:val="00BA4E6C"/>
    <w:rsid w:val="00BA7142"/>
    <w:rsid w:val="00BA7DA0"/>
    <w:rsid w:val="00BB094B"/>
    <w:rsid w:val="00BB1065"/>
    <w:rsid w:val="00BB237C"/>
    <w:rsid w:val="00BB3AFA"/>
    <w:rsid w:val="00BB3E63"/>
    <w:rsid w:val="00BB41A3"/>
    <w:rsid w:val="00BB4776"/>
    <w:rsid w:val="00BB478D"/>
    <w:rsid w:val="00BB56C4"/>
    <w:rsid w:val="00BB58E1"/>
    <w:rsid w:val="00BB7696"/>
    <w:rsid w:val="00BC276E"/>
    <w:rsid w:val="00BC2C98"/>
    <w:rsid w:val="00BC32DC"/>
    <w:rsid w:val="00BC35B6"/>
    <w:rsid w:val="00BD0CA9"/>
    <w:rsid w:val="00BD1B51"/>
    <w:rsid w:val="00BD1F5E"/>
    <w:rsid w:val="00BD29CE"/>
    <w:rsid w:val="00BD33ED"/>
    <w:rsid w:val="00BD367D"/>
    <w:rsid w:val="00BD4596"/>
    <w:rsid w:val="00BD5965"/>
    <w:rsid w:val="00BD69E2"/>
    <w:rsid w:val="00BD6B55"/>
    <w:rsid w:val="00BD79E0"/>
    <w:rsid w:val="00BE0730"/>
    <w:rsid w:val="00BE1405"/>
    <w:rsid w:val="00BE277C"/>
    <w:rsid w:val="00BE312D"/>
    <w:rsid w:val="00BE5649"/>
    <w:rsid w:val="00BE6AC2"/>
    <w:rsid w:val="00BF0A29"/>
    <w:rsid w:val="00BF0B56"/>
    <w:rsid w:val="00BF0C78"/>
    <w:rsid w:val="00BF0E68"/>
    <w:rsid w:val="00BF1468"/>
    <w:rsid w:val="00BF17E2"/>
    <w:rsid w:val="00BF1C20"/>
    <w:rsid w:val="00BF46C0"/>
    <w:rsid w:val="00BF5654"/>
    <w:rsid w:val="00BF5EB0"/>
    <w:rsid w:val="00C00BEE"/>
    <w:rsid w:val="00C030F5"/>
    <w:rsid w:val="00C05648"/>
    <w:rsid w:val="00C07E20"/>
    <w:rsid w:val="00C10230"/>
    <w:rsid w:val="00C10295"/>
    <w:rsid w:val="00C10578"/>
    <w:rsid w:val="00C10AD8"/>
    <w:rsid w:val="00C135BC"/>
    <w:rsid w:val="00C13D68"/>
    <w:rsid w:val="00C1599C"/>
    <w:rsid w:val="00C15C95"/>
    <w:rsid w:val="00C15E36"/>
    <w:rsid w:val="00C16D8F"/>
    <w:rsid w:val="00C1771E"/>
    <w:rsid w:val="00C23561"/>
    <w:rsid w:val="00C23C55"/>
    <w:rsid w:val="00C2596A"/>
    <w:rsid w:val="00C25ADE"/>
    <w:rsid w:val="00C27537"/>
    <w:rsid w:val="00C30349"/>
    <w:rsid w:val="00C328FE"/>
    <w:rsid w:val="00C33507"/>
    <w:rsid w:val="00C34852"/>
    <w:rsid w:val="00C354E6"/>
    <w:rsid w:val="00C413F8"/>
    <w:rsid w:val="00C42BEC"/>
    <w:rsid w:val="00C42CD2"/>
    <w:rsid w:val="00C42E99"/>
    <w:rsid w:val="00C4409D"/>
    <w:rsid w:val="00C4462F"/>
    <w:rsid w:val="00C44E72"/>
    <w:rsid w:val="00C4507E"/>
    <w:rsid w:val="00C45A06"/>
    <w:rsid w:val="00C46DC2"/>
    <w:rsid w:val="00C474D4"/>
    <w:rsid w:val="00C47E5B"/>
    <w:rsid w:val="00C51E57"/>
    <w:rsid w:val="00C52381"/>
    <w:rsid w:val="00C5402B"/>
    <w:rsid w:val="00C547B5"/>
    <w:rsid w:val="00C551F7"/>
    <w:rsid w:val="00C615C0"/>
    <w:rsid w:val="00C61E4B"/>
    <w:rsid w:val="00C6415E"/>
    <w:rsid w:val="00C64BFF"/>
    <w:rsid w:val="00C660BB"/>
    <w:rsid w:val="00C66402"/>
    <w:rsid w:val="00C679FD"/>
    <w:rsid w:val="00C704E9"/>
    <w:rsid w:val="00C7479A"/>
    <w:rsid w:val="00C7567E"/>
    <w:rsid w:val="00C75D31"/>
    <w:rsid w:val="00C763C9"/>
    <w:rsid w:val="00C77B41"/>
    <w:rsid w:val="00C80057"/>
    <w:rsid w:val="00C80F7B"/>
    <w:rsid w:val="00C81AE7"/>
    <w:rsid w:val="00C81C2A"/>
    <w:rsid w:val="00C82181"/>
    <w:rsid w:val="00C82232"/>
    <w:rsid w:val="00C825B2"/>
    <w:rsid w:val="00C82913"/>
    <w:rsid w:val="00C830B9"/>
    <w:rsid w:val="00C83C24"/>
    <w:rsid w:val="00C84DDD"/>
    <w:rsid w:val="00C84E84"/>
    <w:rsid w:val="00C86470"/>
    <w:rsid w:val="00C90924"/>
    <w:rsid w:val="00C9150B"/>
    <w:rsid w:val="00C91CAD"/>
    <w:rsid w:val="00C9380C"/>
    <w:rsid w:val="00C94E7A"/>
    <w:rsid w:val="00C9592D"/>
    <w:rsid w:val="00C971B2"/>
    <w:rsid w:val="00C972B1"/>
    <w:rsid w:val="00C97F17"/>
    <w:rsid w:val="00CA166D"/>
    <w:rsid w:val="00CA23CB"/>
    <w:rsid w:val="00CA2CCE"/>
    <w:rsid w:val="00CA43FD"/>
    <w:rsid w:val="00CA4589"/>
    <w:rsid w:val="00CA5377"/>
    <w:rsid w:val="00CA7EF8"/>
    <w:rsid w:val="00CB0040"/>
    <w:rsid w:val="00CB2094"/>
    <w:rsid w:val="00CB21D8"/>
    <w:rsid w:val="00CB5972"/>
    <w:rsid w:val="00CB6A1C"/>
    <w:rsid w:val="00CB7E76"/>
    <w:rsid w:val="00CC0A0C"/>
    <w:rsid w:val="00CC0A9B"/>
    <w:rsid w:val="00CC2996"/>
    <w:rsid w:val="00CC489B"/>
    <w:rsid w:val="00CC5D5B"/>
    <w:rsid w:val="00CC6E2D"/>
    <w:rsid w:val="00CC730F"/>
    <w:rsid w:val="00CC7ABA"/>
    <w:rsid w:val="00CC7B5E"/>
    <w:rsid w:val="00CC7DEE"/>
    <w:rsid w:val="00CD19AB"/>
    <w:rsid w:val="00CD20AC"/>
    <w:rsid w:val="00CD2BCD"/>
    <w:rsid w:val="00CD2D51"/>
    <w:rsid w:val="00CD3724"/>
    <w:rsid w:val="00CD3A4C"/>
    <w:rsid w:val="00CD491C"/>
    <w:rsid w:val="00CD5F6E"/>
    <w:rsid w:val="00CD6924"/>
    <w:rsid w:val="00CD6F18"/>
    <w:rsid w:val="00CE06E9"/>
    <w:rsid w:val="00CE10E9"/>
    <w:rsid w:val="00CE128F"/>
    <w:rsid w:val="00CE159E"/>
    <w:rsid w:val="00CE1D8B"/>
    <w:rsid w:val="00CE2910"/>
    <w:rsid w:val="00CE3D1B"/>
    <w:rsid w:val="00CE5393"/>
    <w:rsid w:val="00CE61CB"/>
    <w:rsid w:val="00CE65EB"/>
    <w:rsid w:val="00CE7841"/>
    <w:rsid w:val="00CF04B8"/>
    <w:rsid w:val="00CF0797"/>
    <w:rsid w:val="00CF1565"/>
    <w:rsid w:val="00CF21B1"/>
    <w:rsid w:val="00CF36BE"/>
    <w:rsid w:val="00CF6000"/>
    <w:rsid w:val="00CF6DBF"/>
    <w:rsid w:val="00CF6F40"/>
    <w:rsid w:val="00CF7AB7"/>
    <w:rsid w:val="00CF7D4D"/>
    <w:rsid w:val="00D003F3"/>
    <w:rsid w:val="00D02F42"/>
    <w:rsid w:val="00D0364F"/>
    <w:rsid w:val="00D03B22"/>
    <w:rsid w:val="00D03FA6"/>
    <w:rsid w:val="00D048D1"/>
    <w:rsid w:val="00D06834"/>
    <w:rsid w:val="00D11695"/>
    <w:rsid w:val="00D13457"/>
    <w:rsid w:val="00D15429"/>
    <w:rsid w:val="00D154C2"/>
    <w:rsid w:val="00D15F9F"/>
    <w:rsid w:val="00D163FE"/>
    <w:rsid w:val="00D177A2"/>
    <w:rsid w:val="00D20564"/>
    <w:rsid w:val="00D21C35"/>
    <w:rsid w:val="00D248A0"/>
    <w:rsid w:val="00D25D96"/>
    <w:rsid w:val="00D2630A"/>
    <w:rsid w:val="00D26489"/>
    <w:rsid w:val="00D30190"/>
    <w:rsid w:val="00D308ED"/>
    <w:rsid w:val="00D30F8E"/>
    <w:rsid w:val="00D3176E"/>
    <w:rsid w:val="00D31870"/>
    <w:rsid w:val="00D32561"/>
    <w:rsid w:val="00D349A8"/>
    <w:rsid w:val="00D36D86"/>
    <w:rsid w:val="00D40273"/>
    <w:rsid w:val="00D40A55"/>
    <w:rsid w:val="00D40E67"/>
    <w:rsid w:val="00D428AA"/>
    <w:rsid w:val="00D42AA1"/>
    <w:rsid w:val="00D4306F"/>
    <w:rsid w:val="00D43091"/>
    <w:rsid w:val="00D452EE"/>
    <w:rsid w:val="00D461F1"/>
    <w:rsid w:val="00D4654B"/>
    <w:rsid w:val="00D5001C"/>
    <w:rsid w:val="00D50A34"/>
    <w:rsid w:val="00D51E6C"/>
    <w:rsid w:val="00D526B4"/>
    <w:rsid w:val="00D53EFA"/>
    <w:rsid w:val="00D5569B"/>
    <w:rsid w:val="00D55B07"/>
    <w:rsid w:val="00D60396"/>
    <w:rsid w:val="00D60DDD"/>
    <w:rsid w:val="00D61E24"/>
    <w:rsid w:val="00D6238E"/>
    <w:rsid w:val="00D62D10"/>
    <w:rsid w:val="00D64135"/>
    <w:rsid w:val="00D64927"/>
    <w:rsid w:val="00D65E10"/>
    <w:rsid w:val="00D67897"/>
    <w:rsid w:val="00D67E67"/>
    <w:rsid w:val="00D70EE4"/>
    <w:rsid w:val="00D72D5D"/>
    <w:rsid w:val="00D7684F"/>
    <w:rsid w:val="00D7790C"/>
    <w:rsid w:val="00D81E1D"/>
    <w:rsid w:val="00D87373"/>
    <w:rsid w:val="00D87C1C"/>
    <w:rsid w:val="00D902B7"/>
    <w:rsid w:val="00D94797"/>
    <w:rsid w:val="00D948B1"/>
    <w:rsid w:val="00D94A7C"/>
    <w:rsid w:val="00D95896"/>
    <w:rsid w:val="00D96145"/>
    <w:rsid w:val="00D96AE4"/>
    <w:rsid w:val="00D970D2"/>
    <w:rsid w:val="00D97238"/>
    <w:rsid w:val="00DA0A3C"/>
    <w:rsid w:val="00DA1872"/>
    <w:rsid w:val="00DA210F"/>
    <w:rsid w:val="00DA4EB0"/>
    <w:rsid w:val="00DA5450"/>
    <w:rsid w:val="00DA571F"/>
    <w:rsid w:val="00DB2983"/>
    <w:rsid w:val="00DB4EC8"/>
    <w:rsid w:val="00DB5128"/>
    <w:rsid w:val="00DB682E"/>
    <w:rsid w:val="00DB73DC"/>
    <w:rsid w:val="00DB74C6"/>
    <w:rsid w:val="00DB7959"/>
    <w:rsid w:val="00DC02E5"/>
    <w:rsid w:val="00DC1257"/>
    <w:rsid w:val="00DC3C7C"/>
    <w:rsid w:val="00DC3DC0"/>
    <w:rsid w:val="00DC5359"/>
    <w:rsid w:val="00DC5B2B"/>
    <w:rsid w:val="00DD08A0"/>
    <w:rsid w:val="00DD0BBB"/>
    <w:rsid w:val="00DD109A"/>
    <w:rsid w:val="00DD318D"/>
    <w:rsid w:val="00DD39E4"/>
    <w:rsid w:val="00DD4C17"/>
    <w:rsid w:val="00DD4D35"/>
    <w:rsid w:val="00DD55D4"/>
    <w:rsid w:val="00DD585E"/>
    <w:rsid w:val="00DD7818"/>
    <w:rsid w:val="00DE53D8"/>
    <w:rsid w:val="00DE7559"/>
    <w:rsid w:val="00DF11A4"/>
    <w:rsid w:val="00DF1217"/>
    <w:rsid w:val="00DF170C"/>
    <w:rsid w:val="00DF1798"/>
    <w:rsid w:val="00DF2E12"/>
    <w:rsid w:val="00DF347E"/>
    <w:rsid w:val="00DF3AE1"/>
    <w:rsid w:val="00DF42B6"/>
    <w:rsid w:val="00DF4E9E"/>
    <w:rsid w:val="00DF514A"/>
    <w:rsid w:val="00DF6690"/>
    <w:rsid w:val="00DF6804"/>
    <w:rsid w:val="00DF6A8A"/>
    <w:rsid w:val="00DF74DA"/>
    <w:rsid w:val="00E0358D"/>
    <w:rsid w:val="00E04323"/>
    <w:rsid w:val="00E04F1E"/>
    <w:rsid w:val="00E050FF"/>
    <w:rsid w:val="00E070A2"/>
    <w:rsid w:val="00E078F1"/>
    <w:rsid w:val="00E0794B"/>
    <w:rsid w:val="00E10E1A"/>
    <w:rsid w:val="00E111F1"/>
    <w:rsid w:val="00E11ACF"/>
    <w:rsid w:val="00E149D2"/>
    <w:rsid w:val="00E149EE"/>
    <w:rsid w:val="00E2022E"/>
    <w:rsid w:val="00E2069F"/>
    <w:rsid w:val="00E20E3B"/>
    <w:rsid w:val="00E211FC"/>
    <w:rsid w:val="00E2382F"/>
    <w:rsid w:val="00E239B9"/>
    <w:rsid w:val="00E249D6"/>
    <w:rsid w:val="00E24CB2"/>
    <w:rsid w:val="00E2656A"/>
    <w:rsid w:val="00E26E6F"/>
    <w:rsid w:val="00E32814"/>
    <w:rsid w:val="00E331D9"/>
    <w:rsid w:val="00E33386"/>
    <w:rsid w:val="00E33F63"/>
    <w:rsid w:val="00E34797"/>
    <w:rsid w:val="00E36FB0"/>
    <w:rsid w:val="00E37D9B"/>
    <w:rsid w:val="00E412D0"/>
    <w:rsid w:val="00E4172A"/>
    <w:rsid w:val="00E43BE4"/>
    <w:rsid w:val="00E44678"/>
    <w:rsid w:val="00E44A51"/>
    <w:rsid w:val="00E45542"/>
    <w:rsid w:val="00E47DFA"/>
    <w:rsid w:val="00E51B09"/>
    <w:rsid w:val="00E51DD0"/>
    <w:rsid w:val="00E549F8"/>
    <w:rsid w:val="00E54C2A"/>
    <w:rsid w:val="00E5612E"/>
    <w:rsid w:val="00E56264"/>
    <w:rsid w:val="00E56322"/>
    <w:rsid w:val="00E60982"/>
    <w:rsid w:val="00E613EC"/>
    <w:rsid w:val="00E614FA"/>
    <w:rsid w:val="00E62C62"/>
    <w:rsid w:val="00E631C0"/>
    <w:rsid w:val="00E654C1"/>
    <w:rsid w:val="00E65D97"/>
    <w:rsid w:val="00E7013D"/>
    <w:rsid w:val="00E71C75"/>
    <w:rsid w:val="00E72A5A"/>
    <w:rsid w:val="00E72D5E"/>
    <w:rsid w:val="00E73354"/>
    <w:rsid w:val="00E740A2"/>
    <w:rsid w:val="00E753D9"/>
    <w:rsid w:val="00E75982"/>
    <w:rsid w:val="00E76190"/>
    <w:rsid w:val="00E77DC6"/>
    <w:rsid w:val="00E80852"/>
    <w:rsid w:val="00E80C37"/>
    <w:rsid w:val="00E83E92"/>
    <w:rsid w:val="00E83FF1"/>
    <w:rsid w:val="00E84489"/>
    <w:rsid w:val="00E86D72"/>
    <w:rsid w:val="00E9242D"/>
    <w:rsid w:val="00E92DB5"/>
    <w:rsid w:val="00E931B1"/>
    <w:rsid w:val="00E965D2"/>
    <w:rsid w:val="00E966EB"/>
    <w:rsid w:val="00EA267D"/>
    <w:rsid w:val="00EA2C26"/>
    <w:rsid w:val="00EA6135"/>
    <w:rsid w:val="00EA6B94"/>
    <w:rsid w:val="00EB0A02"/>
    <w:rsid w:val="00EB110B"/>
    <w:rsid w:val="00EB26B3"/>
    <w:rsid w:val="00EB2F99"/>
    <w:rsid w:val="00EB3F82"/>
    <w:rsid w:val="00EB40D6"/>
    <w:rsid w:val="00EB4A3B"/>
    <w:rsid w:val="00EB5255"/>
    <w:rsid w:val="00EB5C47"/>
    <w:rsid w:val="00EB74E9"/>
    <w:rsid w:val="00EC1AB7"/>
    <w:rsid w:val="00EC4E29"/>
    <w:rsid w:val="00EC5E94"/>
    <w:rsid w:val="00EC5FFC"/>
    <w:rsid w:val="00ED0639"/>
    <w:rsid w:val="00ED1D2D"/>
    <w:rsid w:val="00ED35E3"/>
    <w:rsid w:val="00ED464E"/>
    <w:rsid w:val="00ED6D0D"/>
    <w:rsid w:val="00ED7258"/>
    <w:rsid w:val="00EE07A0"/>
    <w:rsid w:val="00EE1965"/>
    <w:rsid w:val="00EE2331"/>
    <w:rsid w:val="00EE64D9"/>
    <w:rsid w:val="00EE6981"/>
    <w:rsid w:val="00EF137D"/>
    <w:rsid w:val="00EF2401"/>
    <w:rsid w:val="00EF3161"/>
    <w:rsid w:val="00EF4755"/>
    <w:rsid w:val="00EF6392"/>
    <w:rsid w:val="00EF7135"/>
    <w:rsid w:val="00EF719F"/>
    <w:rsid w:val="00F01C68"/>
    <w:rsid w:val="00F023B5"/>
    <w:rsid w:val="00F027DB"/>
    <w:rsid w:val="00F03AF0"/>
    <w:rsid w:val="00F03E6E"/>
    <w:rsid w:val="00F048AC"/>
    <w:rsid w:val="00F04FB7"/>
    <w:rsid w:val="00F0543C"/>
    <w:rsid w:val="00F05B5E"/>
    <w:rsid w:val="00F07935"/>
    <w:rsid w:val="00F14A7A"/>
    <w:rsid w:val="00F15DB8"/>
    <w:rsid w:val="00F15FBD"/>
    <w:rsid w:val="00F16979"/>
    <w:rsid w:val="00F22401"/>
    <w:rsid w:val="00F22985"/>
    <w:rsid w:val="00F2449B"/>
    <w:rsid w:val="00F25019"/>
    <w:rsid w:val="00F25320"/>
    <w:rsid w:val="00F26F0A"/>
    <w:rsid w:val="00F31BB9"/>
    <w:rsid w:val="00F32165"/>
    <w:rsid w:val="00F331E1"/>
    <w:rsid w:val="00F3338D"/>
    <w:rsid w:val="00F33553"/>
    <w:rsid w:val="00F3383E"/>
    <w:rsid w:val="00F34EF8"/>
    <w:rsid w:val="00F41782"/>
    <w:rsid w:val="00F41AEF"/>
    <w:rsid w:val="00F41CD4"/>
    <w:rsid w:val="00F41D95"/>
    <w:rsid w:val="00F42646"/>
    <w:rsid w:val="00F428F8"/>
    <w:rsid w:val="00F465A7"/>
    <w:rsid w:val="00F46640"/>
    <w:rsid w:val="00F47F9E"/>
    <w:rsid w:val="00F50B7C"/>
    <w:rsid w:val="00F50E35"/>
    <w:rsid w:val="00F530F6"/>
    <w:rsid w:val="00F537F7"/>
    <w:rsid w:val="00F550E6"/>
    <w:rsid w:val="00F5561A"/>
    <w:rsid w:val="00F56705"/>
    <w:rsid w:val="00F64478"/>
    <w:rsid w:val="00F66CB9"/>
    <w:rsid w:val="00F67CBF"/>
    <w:rsid w:val="00F70C4E"/>
    <w:rsid w:val="00F71D20"/>
    <w:rsid w:val="00F74345"/>
    <w:rsid w:val="00F7546D"/>
    <w:rsid w:val="00F76673"/>
    <w:rsid w:val="00F76B2F"/>
    <w:rsid w:val="00F80308"/>
    <w:rsid w:val="00F808BF"/>
    <w:rsid w:val="00F80A0A"/>
    <w:rsid w:val="00F811AB"/>
    <w:rsid w:val="00F82B19"/>
    <w:rsid w:val="00F847F1"/>
    <w:rsid w:val="00F84889"/>
    <w:rsid w:val="00F84D45"/>
    <w:rsid w:val="00F85F8F"/>
    <w:rsid w:val="00F902DF"/>
    <w:rsid w:val="00F90CD1"/>
    <w:rsid w:val="00F9212D"/>
    <w:rsid w:val="00F94664"/>
    <w:rsid w:val="00F965DA"/>
    <w:rsid w:val="00F97D78"/>
    <w:rsid w:val="00FA0590"/>
    <w:rsid w:val="00FA059B"/>
    <w:rsid w:val="00FA0F06"/>
    <w:rsid w:val="00FA0FFB"/>
    <w:rsid w:val="00FA1861"/>
    <w:rsid w:val="00FA406A"/>
    <w:rsid w:val="00FA7BCD"/>
    <w:rsid w:val="00FB2F4A"/>
    <w:rsid w:val="00FB46FC"/>
    <w:rsid w:val="00FB503A"/>
    <w:rsid w:val="00FB516C"/>
    <w:rsid w:val="00FB54B5"/>
    <w:rsid w:val="00FB5517"/>
    <w:rsid w:val="00FB740C"/>
    <w:rsid w:val="00FC0476"/>
    <w:rsid w:val="00FC0725"/>
    <w:rsid w:val="00FC1297"/>
    <w:rsid w:val="00FC6B7D"/>
    <w:rsid w:val="00FC7A4F"/>
    <w:rsid w:val="00FD0236"/>
    <w:rsid w:val="00FD134B"/>
    <w:rsid w:val="00FD18F4"/>
    <w:rsid w:val="00FD3561"/>
    <w:rsid w:val="00FD4ECB"/>
    <w:rsid w:val="00FD54DB"/>
    <w:rsid w:val="00FD619F"/>
    <w:rsid w:val="00FD7455"/>
    <w:rsid w:val="00FD79CB"/>
    <w:rsid w:val="00FE12C9"/>
    <w:rsid w:val="00FE140F"/>
    <w:rsid w:val="00FE1F94"/>
    <w:rsid w:val="00FE30D1"/>
    <w:rsid w:val="00FE4D42"/>
    <w:rsid w:val="00FE58F8"/>
    <w:rsid w:val="00FE5D1D"/>
    <w:rsid w:val="00FF0E77"/>
    <w:rsid w:val="00FF4543"/>
    <w:rsid w:val="00FF5B33"/>
    <w:rsid w:val="01093EC5"/>
    <w:rsid w:val="01290F7E"/>
    <w:rsid w:val="01393690"/>
    <w:rsid w:val="01595DF1"/>
    <w:rsid w:val="015D1E09"/>
    <w:rsid w:val="019129BB"/>
    <w:rsid w:val="01A84B97"/>
    <w:rsid w:val="01DC4938"/>
    <w:rsid w:val="01F7277D"/>
    <w:rsid w:val="020016E6"/>
    <w:rsid w:val="020623B0"/>
    <w:rsid w:val="021015E4"/>
    <w:rsid w:val="021106F4"/>
    <w:rsid w:val="022B0E66"/>
    <w:rsid w:val="02463EE8"/>
    <w:rsid w:val="02633AE8"/>
    <w:rsid w:val="02697903"/>
    <w:rsid w:val="026C1F40"/>
    <w:rsid w:val="0277726C"/>
    <w:rsid w:val="02892FE5"/>
    <w:rsid w:val="02936755"/>
    <w:rsid w:val="02C6238C"/>
    <w:rsid w:val="02D67F2D"/>
    <w:rsid w:val="02F96569"/>
    <w:rsid w:val="03135437"/>
    <w:rsid w:val="032E54F3"/>
    <w:rsid w:val="03A26FF6"/>
    <w:rsid w:val="03EA7B21"/>
    <w:rsid w:val="04150FB7"/>
    <w:rsid w:val="04425F44"/>
    <w:rsid w:val="04512B38"/>
    <w:rsid w:val="045931A4"/>
    <w:rsid w:val="04982BFF"/>
    <w:rsid w:val="04B3579C"/>
    <w:rsid w:val="04CF0D4A"/>
    <w:rsid w:val="04EB0C9D"/>
    <w:rsid w:val="050412FD"/>
    <w:rsid w:val="050977E4"/>
    <w:rsid w:val="053666AF"/>
    <w:rsid w:val="055C7ECF"/>
    <w:rsid w:val="0570195D"/>
    <w:rsid w:val="057672E2"/>
    <w:rsid w:val="059004F9"/>
    <w:rsid w:val="059731EA"/>
    <w:rsid w:val="05D76D72"/>
    <w:rsid w:val="05E0092A"/>
    <w:rsid w:val="05F83EAE"/>
    <w:rsid w:val="05FC7DE5"/>
    <w:rsid w:val="063C179A"/>
    <w:rsid w:val="063E7D85"/>
    <w:rsid w:val="064B547F"/>
    <w:rsid w:val="06576B61"/>
    <w:rsid w:val="06633841"/>
    <w:rsid w:val="068B5409"/>
    <w:rsid w:val="06A77394"/>
    <w:rsid w:val="06DC0715"/>
    <w:rsid w:val="06FA1F25"/>
    <w:rsid w:val="07103136"/>
    <w:rsid w:val="07293586"/>
    <w:rsid w:val="07295285"/>
    <w:rsid w:val="073C722F"/>
    <w:rsid w:val="07563E3D"/>
    <w:rsid w:val="075D69C4"/>
    <w:rsid w:val="07636392"/>
    <w:rsid w:val="07770C56"/>
    <w:rsid w:val="079074D8"/>
    <w:rsid w:val="07B323EF"/>
    <w:rsid w:val="07C97B14"/>
    <w:rsid w:val="07D35AB0"/>
    <w:rsid w:val="07EE41B3"/>
    <w:rsid w:val="084A245B"/>
    <w:rsid w:val="084A4B81"/>
    <w:rsid w:val="085F3DB7"/>
    <w:rsid w:val="08706B9D"/>
    <w:rsid w:val="08897909"/>
    <w:rsid w:val="08922D65"/>
    <w:rsid w:val="08A23ABF"/>
    <w:rsid w:val="092217DD"/>
    <w:rsid w:val="092B5B03"/>
    <w:rsid w:val="093A7294"/>
    <w:rsid w:val="09567D8D"/>
    <w:rsid w:val="09623C06"/>
    <w:rsid w:val="098E619D"/>
    <w:rsid w:val="09C908F7"/>
    <w:rsid w:val="09CB1BCA"/>
    <w:rsid w:val="0A263993"/>
    <w:rsid w:val="0A2D3AC2"/>
    <w:rsid w:val="0AA53037"/>
    <w:rsid w:val="0AA755DF"/>
    <w:rsid w:val="0B0C5276"/>
    <w:rsid w:val="0B120D44"/>
    <w:rsid w:val="0B330E15"/>
    <w:rsid w:val="0B6653D0"/>
    <w:rsid w:val="0B6E3570"/>
    <w:rsid w:val="0B872ED5"/>
    <w:rsid w:val="0B953F6D"/>
    <w:rsid w:val="0BAD6B8B"/>
    <w:rsid w:val="0BB7643C"/>
    <w:rsid w:val="0BC42D0F"/>
    <w:rsid w:val="0BD27BF6"/>
    <w:rsid w:val="0C3B3C7D"/>
    <w:rsid w:val="0C3D0F58"/>
    <w:rsid w:val="0C4953F7"/>
    <w:rsid w:val="0C714A22"/>
    <w:rsid w:val="0C8E5070"/>
    <w:rsid w:val="0C914488"/>
    <w:rsid w:val="0CAB2EAE"/>
    <w:rsid w:val="0CB952B6"/>
    <w:rsid w:val="0D0B61F1"/>
    <w:rsid w:val="0D1B0993"/>
    <w:rsid w:val="0D4006C9"/>
    <w:rsid w:val="0D447C8D"/>
    <w:rsid w:val="0D621C7D"/>
    <w:rsid w:val="0D704821"/>
    <w:rsid w:val="0DDB0155"/>
    <w:rsid w:val="0E0472DB"/>
    <w:rsid w:val="0E73034D"/>
    <w:rsid w:val="0E776033"/>
    <w:rsid w:val="0E9F2A28"/>
    <w:rsid w:val="0EB56D30"/>
    <w:rsid w:val="0F13775A"/>
    <w:rsid w:val="0F1E4886"/>
    <w:rsid w:val="0F335F62"/>
    <w:rsid w:val="0F5F45FE"/>
    <w:rsid w:val="0F6A2297"/>
    <w:rsid w:val="0F6A5C7D"/>
    <w:rsid w:val="0F8D32EF"/>
    <w:rsid w:val="0F9A112B"/>
    <w:rsid w:val="0FBB5B1A"/>
    <w:rsid w:val="0FDA3FC8"/>
    <w:rsid w:val="101822FC"/>
    <w:rsid w:val="1036471A"/>
    <w:rsid w:val="106D2F64"/>
    <w:rsid w:val="108511C6"/>
    <w:rsid w:val="10B63710"/>
    <w:rsid w:val="10F10820"/>
    <w:rsid w:val="10F9050C"/>
    <w:rsid w:val="111671E6"/>
    <w:rsid w:val="111C2F7A"/>
    <w:rsid w:val="11321A56"/>
    <w:rsid w:val="11372ADB"/>
    <w:rsid w:val="11472D1C"/>
    <w:rsid w:val="115100E1"/>
    <w:rsid w:val="11665CA1"/>
    <w:rsid w:val="116A0D84"/>
    <w:rsid w:val="11842564"/>
    <w:rsid w:val="11B80588"/>
    <w:rsid w:val="11D605E8"/>
    <w:rsid w:val="11E33EEA"/>
    <w:rsid w:val="11F73FFB"/>
    <w:rsid w:val="12080872"/>
    <w:rsid w:val="120A0F7B"/>
    <w:rsid w:val="1218013F"/>
    <w:rsid w:val="12187961"/>
    <w:rsid w:val="12281D49"/>
    <w:rsid w:val="123E1A8B"/>
    <w:rsid w:val="12627AC6"/>
    <w:rsid w:val="12661347"/>
    <w:rsid w:val="12943A94"/>
    <w:rsid w:val="12AA0AE5"/>
    <w:rsid w:val="12B13394"/>
    <w:rsid w:val="12D4343D"/>
    <w:rsid w:val="12E1277B"/>
    <w:rsid w:val="13951726"/>
    <w:rsid w:val="13A33C60"/>
    <w:rsid w:val="13D109FF"/>
    <w:rsid w:val="141C6411"/>
    <w:rsid w:val="14396509"/>
    <w:rsid w:val="14702AA7"/>
    <w:rsid w:val="14854BEC"/>
    <w:rsid w:val="149D03E3"/>
    <w:rsid w:val="14DD2C3C"/>
    <w:rsid w:val="14FD139B"/>
    <w:rsid w:val="154E64D9"/>
    <w:rsid w:val="15637598"/>
    <w:rsid w:val="159C36CB"/>
    <w:rsid w:val="15BF6F0A"/>
    <w:rsid w:val="15F41B0C"/>
    <w:rsid w:val="16087E1D"/>
    <w:rsid w:val="16146B3A"/>
    <w:rsid w:val="164F0C22"/>
    <w:rsid w:val="169560A8"/>
    <w:rsid w:val="169C4375"/>
    <w:rsid w:val="16C53140"/>
    <w:rsid w:val="16F1282D"/>
    <w:rsid w:val="16F21071"/>
    <w:rsid w:val="17580383"/>
    <w:rsid w:val="17701D14"/>
    <w:rsid w:val="17735226"/>
    <w:rsid w:val="17B55270"/>
    <w:rsid w:val="17B90D5B"/>
    <w:rsid w:val="182601FA"/>
    <w:rsid w:val="1850654A"/>
    <w:rsid w:val="185C438A"/>
    <w:rsid w:val="186058FD"/>
    <w:rsid w:val="1891215C"/>
    <w:rsid w:val="189F624C"/>
    <w:rsid w:val="18C66ABE"/>
    <w:rsid w:val="18D116D5"/>
    <w:rsid w:val="18D319BC"/>
    <w:rsid w:val="18DB43C3"/>
    <w:rsid w:val="18DE1943"/>
    <w:rsid w:val="18F47FEA"/>
    <w:rsid w:val="190D7398"/>
    <w:rsid w:val="191973DA"/>
    <w:rsid w:val="196514C8"/>
    <w:rsid w:val="199E5279"/>
    <w:rsid w:val="19A522AC"/>
    <w:rsid w:val="19BE36FE"/>
    <w:rsid w:val="1A0142DA"/>
    <w:rsid w:val="1A1C66C0"/>
    <w:rsid w:val="1A2A7AF4"/>
    <w:rsid w:val="1A3C70E2"/>
    <w:rsid w:val="1A42393B"/>
    <w:rsid w:val="1A802A69"/>
    <w:rsid w:val="1AA864C5"/>
    <w:rsid w:val="1AAD45DE"/>
    <w:rsid w:val="1AF32F94"/>
    <w:rsid w:val="1AFE473F"/>
    <w:rsid w:val="1B046F80"/>
    <w:rsid w:val="1B09721D"/>
    <w:rsid w:val="1B240322"/>
    <w:rsid w:val="1B2C1A6B"/>
    <w:rsid w:val="1B316599"/>
    <w:rsid w:val="1B3267B5"/>
    <w:rsid w:val="1B40161D"/>
    <w:rsid w:val="1B441859"/>
    <w:rsid w:val="1B6606B1"/>
    <w:rsid w:val="1BCB4C3B"/>
    <w:rsid w:val="1C0B064F"/>
    <w:rsid w:val="1C5E7925"/>
    <w:rsid w:val="1C681116"/>
    <w:rsid w:val="1C8F3235"/>
    <w:rsid w:val="1C963618"/>
    <w:rsid w:val="1CE20F15"/>
    <w:rsid w:val="1CF070C7"/>
    <w:rsid w:val="1CFD070F"/>
    <w:rsid w:val="1D100965"/>
    <w:rsid w:val="1D5B16A4"/>
    <w:rsid w:val="1D5D5108"/>
    <w:rsid w:val="1D5F6196"/>
    <w:rsid w:val="1D6132A5"/>
    <w:rsid w:val="1D7B39B3"/>
    <w:rsid w:val="1D8E56D5"/>
    <w:rsid w:val="1DC40A44"/>
    <w:rsid w:val="1DFF09CC"/>
    <w:rsid w:val="1E036F42"/>
    <w:rsid w:val="1E0C3763"/>
    <w:rsid w:val="1E1531F9"/>
    <w:rsid w:val="1E606685"/>
    <w:rsid w:val="1E7A43DA"/>
    <w:rsid w:val="1E7E79ED"/>
    <w:rsid w:val="1E910E2A"/>
    <w:rsid w:val="1F451120"/>
    <w:rsid w:val="1F4F6A21"/>
    <w:rsid w:val="1F6656E7"/>
    <w:rsid w:val="1F6751B4"/>
    <w:rsid w:val="1F8552E5"/>
    <w:rsid w:val="1F8A0981"/>
    <w:rsid w:val="1F8E53FE"/>
    <w:rsid w:val="1FB732BB"/>
    <w:rsid w:val="1FC816B8"/>
    <w:rsid w:val="1FE7539E"/>
    <w:rsid w:val="1FF70E34"/>
    <w:rsid w:val="20657AF7"/>
    <w:rsid w:val="20671BE0"/>
    <w:rsid w:val="20680156"/>
    <w:rsid w:val="206B3FD1"/>
    <w:rsid w:val="207224D2"/>
    <w:rsid w:val="20831CA9"/>
    <w:rsid w:val="2091705E"/>
    <w:rsid w:val="20953280"/>
    <w:rsid w:val="20963CB8"/>
    <w:rsid w:val="20A171AA"/>
    <w:rsid w:val="20A46527"/>
    <w:rsid w:val="20A507B9"/>
    <w:rsid w:val="20A81A1B"/>
    <w:rsid w:val="20B07FB6"/>
    <w:rsid w:val="20B646FB"/>
    <w:rsid w:val="20BE6879"/>
    <w:rsid w:val="20E831C6"/>
    <w:rsid w:val="20E9463D"/>
    <w:rsid w:val="20FD3A1B"/>
    <w:rsid w:val="211F67A8"/>
    <w:rsid w:val="2123316A"/>
    <w:rsid w:val="212439C7"/>
    <w:rsid w:val="213B3A80"/>
    <w:rsid w:val="213B74B1"/>
    <w:rsid w:val="215A2310"/>
    <w:rsid w:val="21AF712E"/>
    <w:rsid w:val="21D4612F"/>
    <w:rsid w:val="21D871AD"/>
    <w:rsid w:val="21DE318A"/>
    <w:rsid w:val="21EF5B80"/>
    <w:rsid w:val="22133ECB"/>
    <w:rsid w:val="22340D8E"/>
    <w:rsid w:val="224136D1"/>
    <w:rsid w:val="225635B9"/>
    <w:rsid w:val="22576990"/>
    <w:rsid w:val="225D02BC"/>
    <w:rsid w:val="226D2993"/>
    <w:rsid w:val="228B238B"/>
    <w:rsid w:val="228E416D"/>
    <w:rsid w:val="22C54EA8"/>
    <w:rsid w:val="22F47480"/>
    <w:rsid w:val="2345570D"/>
    <w:rsid w:val="23804A3F"/>
    <w:rsid w:val="238F0790"/>
    <w:rsid w:val="23915FE7"/>
    <w:rsid w:val="2394089D"/>
    <w:rsid w:val="23AB27C7"/>
    <w:rsid w:val="23B16A73"/>
    <w:rsid w:val="23BA2B59"/>
    <w:rsid w:val="23DE1C48"/>
    <w:rsid w:val="240210CD"/>
    <w:rsid w:val="240907CC"/>
    <w:rsid w:val="240A5135"/>
    <w:rsid w:val="246055F4"/>
    <w:rsid w:val="24611A7F"/>
    <w:rsid w:val="24651607"/>
    <w:rsid w:val="24B92147"/>
    <w:rsid w:val="24BF09F7"/>
    <w:rsid w:val="24C059BF"/>
    <w:rsid w:val="24EA0BED"/>
    <w:rsid w:val="24F53365"/>
    <w:rsid w:val="252D53FE"/>
    <w:rsid w:val="25470775"/>
    <w:rsid w:val="256B179B"/>
    <w:rsid w:val="256B53C5"/>
    <w:rsid w:val="25980D3B"/>
    <w:rsid w:val="25BA67DD"/>
    <w:rsid w:val="25EC2D81"/>
    <w:rsid w:val="25F946E8"/>
    <w:rsid w:val="26025E05"/>
    <w:rsid w:val="26114417"/>
    <w:rsid w:val="26211602"/>
    <w:rsid w:val="26234029"/>
    <w:rsid w:val="26814F6E"/>
    <w:rsid w:val="26825225"/>
    <w:rsid w:val="268310F5"/>
    <w:rsid w:val="26A27853"/>
    <w:rsid w:val="26D0435B"/>
    <w:rsid w:val="26E3269C"/>
    <w:rsid w:val="26EA3A3D"/>
    <w:rsid w:val="270B1F2C"/>
    <w:rsid w:val="27106EC1"/>
    <w:rsid w:val="272C527B"/>
    <w:rsid w:val="2733638D"/>
    <w:rsid w:val="27473265"/>
    <w:rsid w:val="277057A2"/>
    <w:rsid w:val="27763829"/>
    <w:rsid w:val="27AF5678"/>
    <w:rsid w:val="27BB7F1A"/>
    <w:rsid w:val="27CB51DE"/>
    <w:rsid w:val="27CC149A"/>
    <w:rsid w:val="27F67F4E"/>
    <w:rsid w:val="28155455"/>
    <w:rsid w:val="281805D9"/>
    <w:rsid w:val="281E0172"/>
    <w:rsid w:val="28477ABC"/>
    <w:rsid w:val="28566894"/>
    <w:rsid w:val="287A0FD3"/>
    <w:rsid w:val="287A557E"/>
    <w:rsid w:val="28812CD5"/>
    <w:rsid w:val="28AD6237"/>
    <w:rsid w:val="28E727FB"/>
    <w:rsid w:val="29124A8A"/>
    <w:rsid w:val="29206EB8"/>
    <w:rsid w:val="292847E1"/>
    <w:rsid w:val="29595666"/>
    <w:rsid w:val="2971193D"/>
    <w:rsid w:val="29837064"/>
    <w:rsid w:val="29874881"/>
    <w:rsid w:val="29BA4164"/>
    <w:rsid w:val="29E325E0"/>
    <w:rsid w:val="29F74C92"/>
    <w:rsid w:val="2A222BF5"/>
    <w:rsid w:val="2A332BC8"/>
    <w:rsid w:val="2A386F47"/>
    <w:rsid w:val="2A452503"/>
    <w:rsid w:val="2A4A3242"/>
    <w:rsid w:val="2A534E12"/>
    <w:rsid w:val="2A7A5B6E"/>
    <w:rsid w:val="2A8C534C"/>
    <w:rsid w:val="2AB32E0E"/>
    <w:rsid w:val="2ACE4041"/>
    <w:rsid w:val="2AEB11BE"/>
    <w:rsid w:val="2AFB1492"/>
    <w:rsid w:val="2B0A65C1"/>
    <w:rsid w:val="2B1639E1"/>
    <w:rsid w:val="2B2B103A"/>
    <w:rsid w:val="2B442801"/>
    <w:rsid w:val="2B7F08CC"/>
    <w:rsid w:val="2BA936A8"/>
    <w:rsid w:val="2BAA4592"/>
    <w:rsid w:val="2BC97690"/>
    <w:rsid w:val="2BE82114"/>
    <w:rsid w:val="2C102144"/>
    <w:rsid w:val="2C315A5A"/>
    <w:rsid w:val="2C4B1C25"/>
    <w:rsid w:val="2CB74F97"/>
    <w:rsid w:val="2CEC23AC"/>
    <w:rsid w:val="2D105E8D"/>
    <w:rsid w:val="2D1C1C52"/>
    <w:rsid w:val="2D1D34D8"/>
    <w:rsid w:val="2D57014A"/>
    <w:rsid w:val="2D59628D"/>
    <w:rsid w:val="2D766B80"/>
    <w:rsid w:val="2D9E56F5"/>
    <w:rsid w:val="2DA6047D"/>
    <w:rsid w:val="2DB3529E"/>
    <w:rsid w:val="2DB53CBE"/>
    <w:rsid w:val="2DC47223"/>
    <w:rsid w:val="2DEF311D"/>
    <w:rsid w:val="2DFD5CBB"/>
    <w:rsid w:val="2E1935D8"/>
    <w:rsid w:val="2E4D0C0B"/>
    <w:rsid w:val="2E6150AF"/>
    <w:rsid w:val="2E667F96"/>
    <w:rsid w:val="2E8226AB"/>
    <w:rsid w:val="2EAA3D85"/>
    <w:rsid w:val="2EFE0512"/>
    <w:rsid w:val="2F091C95"/>
    <w:rsid w:val="2F244BC8"/>
    <w:rsid w:val="2F5B2005"/>
    <w:rsid w:val="2F7E2799"/>
    <w:rsid w:val="2FC52B27"/>
    <w:rsid w:val="2FD065E6"/>
    <w:rsid w:val="2FD52AC7"/>
    <w:rsid w:val="2FD96870"/>
    <w:rsid w:val="302F2187"/>
    <w:rsid w:val="303D556F"/>
    <w:rsid w:val="304769B6"/>
    <w:rsid w:val="30580BC9"/>
    <w:rsid w:val="306D62F3"/>
    <w:rsid w:val="30796356"/>
    <w:rsid w:val="30C01FA6"/>
    <w:rsid w:val="30EC4A9B"/>
    <w:rsid w:val="30F21EE1"/>
    <w:rsid w:val="30F81DB6"/>
    <w:rsid w:val="310A6A37"/>
    <w:rsid w:val="31194277"/>
    <w:rsid w:val="311A30CA"/>
    <w:rsid w:val="311E2ED7"/>
    <w:rsid w:val="3133528E"/>
    <w:rsid w:val="314812BF"/>
    <w:rsid w:val="314B717B"/>
    <w:rsid w:val="315619EE"/>
    <w:rsid w:val="315C449C"/>
    <w:rsid w:val="316D4E4B"/>
    <w:rsid w:val="31B82709"/>
    <w:rsid w:val="31D05482"/>
    <w:rsid w:val="31D4255F"/>
    <w:rsid w:val="31DD424D"/>
    <w:rsid w:val="31E9028B"/>
    <w:rsid w:val="322D78F1"/>
    <w:rsid w:val="32400B34"/>
    <w:rsid w:val="32484898"/>
    <w:rsid w:val="32486B4C"/>
    <w:rsid w:val="324B42E7"/>
    <w:rsid w:val="327A03E3"/>
    <w:rsid w:val="329E6876"/>
    <w:rsid w:val="32C266B9"/>
    <w:rsid w:val="32EC163E"/>
    <w:rsid w:val="32EF50C2"/>
    <w:rsid w:val="331C1F78"/>
    <w:rsid w:val="333015F2"/>
    <w:rsid w:val="334B6320"/>
    <w:rsid w:val="335D7697"/>
    <w:rsid w:val="33626B28"/>
    <w:rsid w:val="33860003"/>
    <w:rsid w:val="33A02331"/>
    <w:rsid w:val="33A60A85"/>
    <w:rsid w:val="33CA37E5"/>
    <w:rsid w:val="33D934D4"/>
    <w:rsid w:val="33F52DEE"/>
    <w:rsid w:val="33FE2F6A"/>
    <w:rsid w:val="340E07E5"/>
    <w:rsid w:val="34143F09"/>
    <w:rsid w:val="342303FC"/>
    <w:rsid w:val="34235BF7"/>
    <w:rsid w:val="344D0C0C"/>
    <w:rsid w:val="34540346"/>
    <w:rsid w:val="348C700C"/>
    <w:rsid w:val="358C5FA8"/>
    <w:rsid w:val="35903451"/>
    <w:rsid w:val="35B7010F"/>
    <w:rsid w:val="35C15DF1"/>
    <w:rsid w:val="35CC159F"/>
    <w:rsid w:val="35D02611"/>
    <w:rsid w:val="35EC7828"/>
    <w:rsid w:val="35FD064F"/>
    <w:rsid w:val="36074A7F"/>
    <w:rsid w:val="361A6B48"/>
    <w:rsid w:val="362C6B7F"/>
    <w:rsid w:val="36456520"/>
    <w:rsid w:val="365D64FF"/>
    <w:rsid w:val="36923549"/>
    <w:rsid w:val="36A61BA5"/>
    <w:rsid w:val="36B75FBF"/>
    <w:rsid w:val="36B9159F"/>
    <w:rsid w:val="36BD0C45"/>
    <w:rsid w:val="36D41460"/>
    <w:rsid w:val="36E45AEE"/>
    <w:rsid w:val="370047E4"/>
    <w:rsid w:val="37025969"/>
    <w:rsid w:val="37263FE7"/>
    <w:rsid w:val="3747103B"/>
    <w:rsid w:val="37491941"/>
    <w:rsid w:val="3753114A"/>
    <w:rsid w:val="376D5537"/>
    <w:rsid w:val="37B81881"/>
    <w:rsid w:val="37C22C42"/>
    <w:rsid w:val="37E00298"/>
    <w:rsid w:val="387F1C25"/>
    <w:rsid w:val="38B302F9"/>
    <w:rsid w:val="38DC13FD"/>
    <w:rsid w:val="38F06EC2"/>
    <w:rsid w:val="38F12CD3"/>
    <w:rsid w:val="38F94775"/>
    <w:rsid w:val="3919511F"/>
    <w:rsid w:val="392971ED"/>
    <w:rsid w:val="39325651"/>
    <w:rsid w:val="39677265"/>
    <w:rsid w:val="398247A2"/>
    <w:rsid w:val="3997508D"/>
    <w:rsid w:val="39A14CC8"/>
    <w:rsid w:val="39B73468"/>
    <w:rsid w:val="39D511A3"/>
    <w:rsid w:val="3A5D75C2"/>
    <w:rsid w:val="3A872856"/>
    <w:rsid w:val="3AA25CEF"/>
    <w:rsid w:val="3B3763D1"/>
    <w:rsid w:val="3B440A43"/>
    <w:rsid w:val="3B736BD2"/>
    <w:rsid w:val="3B7B37BB"/>
    <w:rsid w:val="3B7D7A52"/>
    <w:rsid w:val="3B9C0960"/>
    <w:rsid w:val="3BA467B5"/>
    <w:rsid w:val="3BD026B4"/>
    <w:rsid w:val="3BEA2190"/>
    <w:rsid w:val="3BF34E78"/>
    <w:rsid w:val="3C0541F4"/>
    <w:rsid w:val="3C2F6E1E"/>
    <w:rsid w:val="3C4539EF"/>
    <w:rsid w:val="3C4F64BA"/>
    <w:rsid w:val="3C7B3A5B"/>
    <w:rsid w:val="3C911493"/>
    <w:rsid w:val="3C9E199C"/>
    <w:rsid w:val="3CA04E35"/>
    <w:rsid w:val="3CDA245A"/>
    <w:rsid w:val="3CEC0C15"/>
    <w:rsid w:val="3CFD02CA"/>
    <w:rsid w:val="3D0345A7"/>
    <w:rsid w:val="3D060FB7"/>
    <w:rsid w:val="3D1E06B7"/>
    <w:rsid w:val="3D1E6B2E"/>
    <w:rsid w:val="3D502789"/>
    <w:rsid w:val="3DB70697"/>
    <w:rsid w:val="3DBD0B2F"/>
    <w:rsid w:val="3DC270A0"/>
    <w:rsid w:val="3DD920E6"/>
    <w:rsid w:val="3E1523D3"/>
    <w:rsid w:val="3E1D49EF"/>
    <w:rsid w:val="3E2A025B"/>
    <w:rsid w:val="3E400DC0"/>
    <w:rsid w:val="3E4C4127"/>
    <w:rsid w:val="3E814983"/>
    <w:rsid w:val="3E84091D"/>
    <w:rsid w:val="3EAC6A15"/>
    <w:rsid w:val="3EB97410"/>
    <w:rsid w:val="3EDA0523"/>
    <w:rsid w:val="3EEE2A2E"/>
    <w:rsid w:val="3F001C51"/>
    <w:rsid w:val="3F114F00"/>
    <w:rsid w:val="3F621DE0"/>
    <w:rsid w:val="3F94095F"/>
    <w:rsid w:val="3FAC6C01"/>
    <w:rsid w:val="3FB21DD5"/>
    <w:rsid w:val="3FC403BA"/>
    <w:rsid w:val="3FFA7A51"/>
    <w:rsid w:val="40125F17"/>
    <w:rsid w:val="401D6646"/>
    <w:rsid w:val="404944D0"/>
    <w:rsid w:val="4050735A"/>
    <w:rsid w:val="406168CD"/>
    <w:rsid w:val="407A6407"/>
    <w:rsid w:val="40B41292"/>
    <w:rsid w:val="40D21F8F"/>
    <w:rsid w:val="40DB4A5A"/>
    <w:rsid w:val="40E56E69"/>
    <w:rsid w:val="410B46E8"/>
    <w:rsid w:val="410D7B73"/>
    <w:rsid w:val="410F0083"/>
    <w:rsid w:val="41111B87"/>
    <w:rsid w:val="41621EAC"/>
    <w:rsid w:val="417A255B"/>
    <w:rsid w:val="417C2D9C"/>
    <w:rsid w:val="417F4A9E"/>
    <w:rsid w:val="41A66352"/>
    <w:rsid w:val="41E93871"/>
    <w:rsid w:val="4200449D"/>
    <w:rsid w:val="422206AE"/>
    <w:rsid w:val="42221114"/>
    <w:rsid w:val="423856F3"/>
    <w:rsid w:val="423A3BCC"/>
    <w:rsid w:val="423E39B5"/>
    <w:rsid w:val="424E57D2"/>
    <w:rsid w:val="426539FC"/>
    <w:rsid w:val="42776659"/>
    <w:rsid w:val="428049C4"/>
    <w:rsid w:val="428C4409"/>
    <w:rsid w:val="429C7570"/>
    <w:rsid w:val="42AA1ABF"/>
    <w:rsid w:val="42B26C49"/>
    <w:rsid w:val="430113CC"/>
    <w:rsid w:val="43197879"/>
    <w:rsid w:val="431E7EAF"/>
    <w:rsid w:val="43261978"/>
    <w:rsid w:val="43351E4A"/>
    <w:rsid w:val="433A6FE6"/>
    <w:rsid w:val="43480868"/>
    <w:rsid w:val="4350713C"/>
    <w:rsid w:val="436653E0"/>
    <w:rsid w:val="43C4431A"/>
    <w:rsid w:val="43CD3DFC"/>
    <w:rsid w:val="43DF4815"/>
    <w:rsid w:val="43E1427D"/>
    <w:rsid w:val="43F35690"/>
    <w:rsid w:val="44075590"/>
    <w:rsid w:val="442A5375"/>
    <w:rsid w:val="442D73AC"/>
    <w:rsid w:val="44446DA9"/>
    <w:rsid w:val="445C5D82"/>
    <w:rsid w:val="44617495"/>
    <w:rsid w:val="44B951CC"/>
    <w:rsid w:val="44C25971"/>
    <w:rsid w:val="44CD14E0"/>
    <w:rsid w:val="44E85498"/>
    <w:rsid w:val="44F003C5"/>
    <w:rsid w:val="44F20B0B"/>
    <w:rsid w:val="450B72D6"/>
    <w:rsid w:val="45207B69"/>
    <w:rsid w:val="452E5F4C"/>
    <w:rsid w:val="45612018"/>
    <w:rsid w:val="45881BCC"/>
    <w:rsid w:val="458946E9"/>
    <w:rsid w:val="45905F7F"/>
    <w:rsid w:val="45A47C0E"/>
    <w:rsid w:val="45CD4A97"/>
    <w:rsid w:val="45DB3134"/>
    <w:rsid w:val="45E202D4"/>
    <w:rsid w:val="45ED4335"/>
    <w:rsid w:val="45FF1B4D"/>
    <w:rsid w:val="460855EE"/>
    <w:rsid w:val="46394713"/>
    <w:rsid w:val="46577FD6"/>
    <w:rsid w:val="466643ED"/>
    <w:rsid w:val="46924498"/>
    <w:rsid w:val="46C127CE"/>
    <w:rsid w:val="46C66879"/>
    <w:rsid w:val="46D71F50"/>
    <w:rsid w:val="46D955A7"/>
    <w:rsid w:val="46F24CAF"/>
    <w:rsid w:val="47111486"/>
    <w:rsid w:val="47133957"/>
    <w:rsid w:val="471A6617"/>
    <w:rsid w:val="47353F2D"/>
    <w:rsid w:val="47501846"/>
    <w:rsid w:val="47761E5E"/>
    <w:rsid w:val="478379AC"/>
    <w:rsid w:val="47A07E0C"/>
    <w:rsid w:val="47A94618"/>
    <w:rsid w:val="47B53A7D"/>
    <w:rsid w:val="47BF6B13"/>
    <w:rsid w:val="47C16E15"/>
    <w:rsid w:val="47C302D7"/>
    <w:rsid w:val="47F27D19"/>
    <w:rsid w:val="47FB1B5B"/>
    <w:rsid w:val="481F134F"/>
    <w:rsid w:val="48327778"/>
    <w:rsid w:val="486252BB"/>
    <w:rsid w:val="4870272E"/>
    <w:rsid w:val="488E6746"/>
    <w:rsid w:val="48A01010"/>
    <w:rsid w:val="4918195B"/>
    <w:rsid w:val="4969715D"/>
    <w:rsid w:val="49851B94"/>
    <w:rsid w:val="498B3570"/>
    <w:rsid w:val="499368AE"/>
    <w:rsid w:val="499F5B90"/>
    <w:rsid w:val="49B35C07"/>
    <w:rsid w:val="49CE6C21"/>
    <w:rsid w:val="49D54CA6"/>
    <w:rsid w:val="49DC7715"/>
    <w:rsid w:val="49F85746"/>
    <w:rsid w:val="4A023139"/>
    <w:rsid w:val="4A172EBA"/>
    <w:rsid w:val="4A39664E"/>
    <w:rsid w:val="4A3D05A8"/>
    <w:rsid w:val="4A7B576F"/>
    <w:rsid w:val="4A8335FF"/>
    <w:rsid w:val="4A8F4088"/>
    <w:rsid w:val="4ABE3AE8"/>
    <w:rsid w:val="4AD818CC"/>
    <w:rsid w:val="4AF33A16"/>
    <w:rsid w:val="4AF561A9"/>
    <w:rsid w:val="4B0F0742"/>
    <w:rsid w:val="4B133E80"/>
    <w:rsid w:val="4B1721FD"/>
    <w:rsid w:val="4BA83CB7"/>
    <w:rsid w:val="4BC94A59"/>
    <w:rsid w:val="4C0E107B"/>
    <w:rsid w:val="4C214D7B"/>
    <w:rsid w:val="4C3B0B72"/>
    <w:rsid w:val="4C3F7D54"/>
    <w:rsid w:val="4C4A0649"/>
    <w:rsid w:val="4C4E5896"/>
    <w:rsid w:val="4C5325A0"/>
    <w:rsid w:val="4C6438CC"/>
    <w:rsid w:val="4C676B25"/>
    <w:rsid w:val="4C7E5ECA"/>
    <w:rsid w:val="4C876AA5"/>
    <w:rsid w:val="4CAC1515"/>
    <w:rsid w:val="4CB42676"/>
    <w:rsid w:val="4CE12592"/>
    <w:rsid w:val="4CE23C8F"/>
    <w:rsid w:val="4CF22FEA"/>
    <w:rsid w:val="4CF62878"/>
    <w:rsid w:val="4D0E00FB"/>
    <w:rsid w:val="4D0F3C0F"/>
    <w:rsid w:val="4D176606"/>
    <w:rsid w:val="4D217B77"/>
    <w:rsid w:val="4D40600F"/>
    <w:rsid w:val="4D5566DE"/>
    <w:rsid w:val="4D621AA6"/>
    <w:rsid w:val="4DA56ECA"/>
    <w:rsid w:val="4DBB22DC"/>
    <w:rsid w:val="4DD9389B"/>
    <w:rsid w:val="4DEC4FB0"/>
    <w:rsid w:val="4DF914CF"/>
    <w:rsid w:val="4E075D8A"/>
    <w:rsid w:val="4E3C4EA3"/>
    <w:rsid w:val="4E773D12"/>
    <w:rsid w:val="4E81576A"/>
    <w:rsid w:val="4EBE5C47"/>
    <w:rsid w:val="4EC00FAD"/>
    <w:rsid w:val="4ED4488C"/>
    <w:rsid w:val="4F3227E6"/>
    <w:rsid w:val="4F7B61B3"/>
    <w:rsid w:val="4F9843DC"/>
    <w:rsid w:val="4FB84DE7"/>
    <w:rsid w:val="4FBA501E"/>
    <w:rsid w:val="4FC62A8C"/>
    <w:rsid w:val="4FD941D1"/>
    <w:rsid w:val="4FE20F0D"/>
    <w:rsid w:val="4FE51552"/>
    <w:rsid w:val="50281B04"/>
    <w:rsid w:val="503B2E78"/>
    <w:rsid w:val="50504C4B"/>
    <w:rsid w:val="505C77FF"/>
    <w:rsid w:val="507743CB"/>
    <w:rsid w:val="5077564D"/>
    <w:rsid w:val="507A5DA3"/>
    <w:rsid w:val="509C6E7C"/>
    <w:rsid w:val="50CC28DD"/>
    <w:rsid w:val="50CE4350"/>
    <w:rsid w:val="50DF6140"/>
    <w:rsid w:val="511C2C31"/>
    <w:rsid w:val="511F5AF4"/>
    <w:rsid w:val="51282548"/>
    <w:rsid w:val="514F7255"/>
    <w:rsid w:val="5162104E"/>
    <w:rsid w:val="517459CD"/>
    <w:rsid w:val="517528ED"/>
    <w:rsid w:val="519C2A23"/>
    <w:rsid w:val="51BA6CF6"/>
    <w:rsid w:val="51D71AF1"/>
    <w:rsid w:val="51F93143"/>
    <w:rsid w:val="51FD6204"/>
    <w:rsid w:val="51FE1CC8"/>
    <w:rsid w:val="52276E8C"/>
    <w:rsid w:val="52A73097"/>
    <w:rsid w:val="52B35F14"/>
    <w:rsid w:val="52B94454"/>
    <w:rsid w:val="52BA5E6A"/>
    <w:rsid w:val="52CD66C7"/>
    <w:rsid w:val="52D13AB6"/>
    <w:rsid w:val="52D467FC"/>
    <w:rsid w:val="53242CD3"/>
    <w:rsid w:val="53386E0F"/>
    <w:rsid w:val="53557EF5"/>
    <w:rsid w:val="536E745F"/>
    <w:rsid w:val="538D4848"/>
    <w:rsid w:val="53A039CC"/>
    <w:rsid w:val="53A1505A"/>
    <w:rsid w:val="53F02963"/>
    <w:rsid w:val="54063E08"/>
    <w:rsid w:val="543437E8"/>
    <w:rsid w:val="546F350D"/>
    <w:rsid w:val="54911502"/>
    <w:rsid w:val="549D711F"/>
    <w:rsid w:val="54BB1470"/>
    <w:rsid w:val="54BB489C"/>
    <w:rsid w:val="54C440A6"/>
    <w:rsid w:val="54F73313"/>
    <w:rsid w:val="54F80955"/>
    <w:rsid w:val="551D14B9"/>
    <w:rsid w:val="55207159"/>
    <w:rsid w:val="553B1D52"/>
    <w:rsid w:val="555170A7"/>
    <w:rsid w:val="556E1A7F"/>
    <w:rsid w:val="5587536D"/>
    <w:rsid w:val="559B174B"/>
    <w:rsid w:val="55A56EE6"/>
    <w:rsid w:val="55C83772"/>
    <w:rsid w:val="55CC29E3"/>
    <w:rsid w:val="55CE0CF4"/>
    <w:rsid w:val="55F67AE8"/>
    <w:rsid w:val="561A14DE"/>
    <w:rsid w:val="56494BFE"/>
    <w:rsid w:val="564F3A44"/>
    <w:rsid w:val="5672526D"/>
    <w:rsid w:val="568033D7"/>
    <w:rsid w:val="56B22A9C"/>
    <w:rsid w:val="56B56331"/>
    <w:rsid w:val="56B6681B"/>
    <w:rsid w:val="56DA2ED3"/>
    <w:rsid w:val="56E4683C"/>
    <w:rsid w:val="56F15DC4"/>
    <w:rsid w:val="57033B0D"/>
    <w:rsid w:val="572E1482"/>
    <w:rsid w:val="573145EE"/>
    <w:rsid w:val="57535EF3"/>
    <w:rsid w:val="57552806"/>
    <w:rsid w:val="577D2405"/>
    <w:rsid w:val="57B72A76"/>
    <w:rsid w:val="57C3426C"/>
    <w:rsid w:val="57CE1F93"/>
    <w:rsid w:val="57DA512D"/>
    <w:rsid w:val="57DB6132"/>
    <w:rsid w:val="57E06BAA"/>
    <w:rsid w:val="580E3CBB"/>
    <w:rsid w:val="58120D3B"/>
    <w:rsid w:val="581D7455"/>
    <w:rsid w:val="58465FBD"/>
    <w:rsid w:val="58567401"/>
    <w:rsid w:val="585768C9"/>
    <w:rsid w:val="588743D1"/>
    <w:rsid w:val="5887701A"/>
    <w:rsid w:val="589C18C3"/>
    <w:rsid w:val="58CB6650"/>
    <w:rsid w:val="58D77FC3"/>
    <w:rsid w:val="58DE1371"/>
    <w:rsid w:val="58E72015"/>
    <w:rsid w:val="58E96151"/>
    <w:rsid w:val="58FA547B"/>
    <w:rsid w:val="5934326F"/>
    <w:rsid w:val="59B07399"/>
    <w:rsid w:val="59C0439F"/>
    <w:rsid w:val="59E90D85"/>
    <w:rsid w:val="5A334575"/>
    <w:rsid w:val="5A374EFB"/>
    <w:rsid w:val="5AA13AF2"/>
    <w:rsid w:val="5AA86062"/>
    <w:rsid w:val="5ABE2233"/>
    <w:rsid w:val="5AC40D25"/>
    <w:rsid w:val="5ACB7A02"/>
    <w:rsid w:val="5ACE65E6"/>
    <w:rsid w:val="5AD32D0E"/>
    <w:rsid w:val="5B306031"/>
    <w:rsid w:val="5B4122A5"/>
    <w:rsid w:val="5B430088"/>
    <w:rsid w:val="5B501AE3"/>
    <w:rsid w:val="5B582F25"/>
    <w:rsid w:val="5B612D43"/>
    <w:rsid w:val="5B7774A2"/>
    <w:rsid w:val="5B8325BA"/>
    <w:rsid w:val="5BB202EC"/>
    <w:rsid w:val="5BBD1CE7"/>
    <w:rsid w:val="5BDF5D95"/>
    <w:rsid w:val="5BE316D5"/>
    <w:rsid w:val="5BF60394"/>
    <w:rsid w:val="5BFE7528"/>
    <w:rsid w:val="5C207644"/>
    <w:rsid w:val="5C4518EE"/>
    <w:rsid w:val="5C772967"/>
    <w:rsid w:val="5CAA1F5C"/>
    <w:rsid w:val="5CAA683E"/>
    <w:rsid w:val="5CEF12A1"/>
    <w:rsid w:val="5CFD46DF"/>
    <w:rsid w:val="5D342F8B"/>
    <w:rsid w:val="5D3F0947"/>
    <w:rsid w:val="5D471551"/>
    <w:rsid w:val="5D5A43DF"/>
    <w:rsid w:val="5D7601E1"/>
    <w:rsid w:val="5D891708"/>
    <w:rsid w:val="5DB12096"/>
    <w:rsid w:val="5E207D47"/>
    <w:rsid w:val="5E2467F1"/>
    <w:rsid w:val="5E353142"/>
    <w:rsid w:val="5E7F4524"/>
    <w:rsid w:val="5EBB3B76"/>
    <w:rsid w:val="5EC81E60"/>
    <w:rsid w:val="5ED67FC7"/>
    <w:rsid w:val="5F1A2B43"/>
    <w:rsid w:val="5F1D3937"/>
    <w:rsid w:val="5F3B7333"/>
    <w:rsid w:val="5F614225"/>
    <w:rsid w:val="5FB661D8"/>
    <w:rsid w:val="5FB837BB"/>
    <w:rsid w:val="5FCD5541"/>
    <w:rsid w:val="5FD42D94"/>
    <w:rsid w:val="600E2FD2"/>
    <w:rsid w:val="60224FD9"/>
    <w:rsid w:val="605102B2"/>
    <w:rsid w:val="60852B84"/>
    <w:rsid w:val="609935C5"/>
    <w:rsid w:val="60CC405A"/>
    <w:rsid w:val="60DE5DA4"/>
    <w:rsid w:val="610E2E15"/>
    <w:rsid w:val="61473297"/>
    <w:rsid w:val="614C5BDB"/>
    <w:rsid w:val="61616C65"/>
    <w:rsid w:val="61755DD2"/>
    <w:rsid w:val="617C4A4F"/>
    <w:rsid w:val="619F06F7"/>
    <w:rsid w:val="61E215D8"/>
    <w:rsid w:val="61E96F04"/>
    <w:rsid w:val="61FE12C1"/>
    <w:rsid w:val="621B3775"/>
    <w:rsid w:val="622745F9"/>
    <w:rsid w:val="62333D35"/>
    <w:rsid w:val="62364782"/>
    <w:rsid w:val="62377E9A"/>
    <w:rsid w:val="628D6CD3"/>
    <w:rsid w:val="62B86C49"/>
    <w:rsid w:val="62D73D2A"/>
    <w:rsid w:val="636A3C34"/>
    <w:rsid w:val="6394356A"/>
    <w:rsid w:val="639651BB"/>
    <w:rsid w:val="63971CE9"/>
    <w:rsid w:val="63C61B2C"/>
    <w:rsid w:val="63D40BE9"/>
    <w:rsid w:val="63DA58E4"/>
    <w:rsid w:val="63E25C14"/>
    <w:rsid w:val="63EF3C23"/>
    <w:rsid w:val="63F2085E"/>
    <w:rsid w:val="64052323"/>
    <w:rsid w:val="640F2CB0"/>
    <w:rsid w:val="64102431"/>
    <w:rsid w:val="643A0060"/>
    <w:rsid w:val="64730AF9"/>
    <w:rsid w:val="64A5243A"/>
    <w:rsid w:val="64AB1009"/>
    <w:rsid w:val="64DD1C2A"/>
    <w:rsid w:val="64F531DE"/>
    <w:rsid w:val="64F80236"/>
    <w:rsid w:val="6533693F"/>
    <w:rsid w:val="65373578"/>
    <w:rsid w:val="65487CFD"/>
    <w:rsid w:val="657D068E"/>
    <w:rsid w:val="65A90CD6"/>
    <w:rsid w:val="65AB063F"/>
    <w:rsid w:val="65B441A4"/>
    <w:rsid w:val="65C070B1"/>
    <w:rsid w:val="65D7663D"/>
    <w:rsid w:val="66135B9C"/>
    <w:rsid w:val="663B4945"/>
    <w:rsid w:val="666F4D00"/>
    <w:rsid w:val="668439C2"/>
    <w:rsid w:val="66C970DC"/>
    <w:rsid w:val="66F132BE"/>
    <w:rsid w:val="66F71646"/>
    <w:rsid w:val="670A3B5D"/>
    <w:rsid w:val="670E47F3"/>
    <w:rsid w:val="671F124A"/>
    <w:rsid w:val="67281C1A"/>
    <w:rsid w:val="6732452D"/>
    <w:rsid w:val="674E38CF"/>
    <w:rsid w:val="677A33C6"/>
    <w:rsid w:val="67843799"/>
    <w:rsid w:val="67897424"/>
    <w:rsid w:val="67C02B33"/>
    <w:rsid w:val="67CD4B79"/>
    <w:rsid w:val="67E42E1F"/>
    <w:rsid w:val="681F6961"/>
    <w:rsid w:val="683E27EA"/>
    <w:rsid w:val="68426214"/>
    <w:rsid w:val="68610A2F"/>
    <w:rsid w:val="68740652"/>
    <w:rsid w:val="68805514"/>
    <w:rsid w:val="689013C9"/>
    <w:rsid w:val="68CD3870"/>
    <w:rsid w:val="68F5745C"/>
    <w:rsid w:val="69247F83"/>
    <w:rsid w:val="69316E2F"/>
    <w:rsid w:val="69357BF0"/>
    <w:rsid w:val="694E2071"/>
    <w:rsid w:val="69572358"/>
    <w:rsid w:val="69594E62"/>
    <w:rsid w:val="69766163"/>
    <w:rsid w:val="697A3B33"/>
    <w:rsid w:val="69947593"/>
    <w:rsid w:val="69D44760"/>
    <w:rsid w:val="6A1F6F2C"/>
    <w:rsid w:val="6A285186"/>
    <w:rsid w:val="6A520EC7"/>
    <w:rsid w:val="6A76043C"/>
    <w:rsid w:val="6AF87E20"/>
    <w:rsid w:val="6B322639"/>
    <w:rsid w:val="6B6735EB"/>
    <w:rsid w:val="6B7D1D7A"/>
    <w:rsid w:val="6B9E61B5"/>
    <w:rsid w:val="6BE22B18"/>
    <w:rsid w:val="6BED5774"/>
    <w:rsid w:val="6BFE7777"/>
    <w:rsid w:val="6C09679B"/>
    <w:rsid w:val="6C1B61ED"/>
    <w:rsid w:val="6C2E1583"/>
    <w:rsid w:val="6C2E59B6"/>
    <w:rsid w:val="6C636C38"/>
    <w:rsid w:val="6C8E122D"/>
    <w:rsid w:val="6C985BC6"/>
    <w:rsid w:val="6C993EF4"/>
    <w:rsid w:val="6CC81CE7"/>
    <w:rsid w:val="6CD13D59"/>
    <w:rsid w:val="6D0E4066"/>
    <w:rsid w:val="6D152897"/>
    <w:rsid w:val="6D162C44"/>
    <w:rsid w:val="6D4B15EF"/>
    <w:rsid w:val="6DB34098"/>
    <w:rsid w:val="6DB545B6"/>
    <w:rsid w:val="6DBB48A4"/>
    <w:rsid w:val="6DDC544A"/>
    <w:rsid w:val="6DE02FB4"/>
    <w:rsid w:val="6DE9321C"/>
    <w:rsid w:val="6DEF18F3"/>
    <w:rsid w:val="6E514CED"/>
    <w:rsid w:val="6E811502"/>
    <w:rsid w:val="6E917E3F"/>
    <w:rsid w:val="6E9B41F2"/>
    <w:rsid w:val="6EB563D5"/>
    <w:rsid w:val="6ED33C39"/>
    <w:rsid w:val="6ED92677"/>
    <w:rsid w:val="6EF35A66"/>
    <w:rsid w:val="6F146B46"/>
    <w:rsid w:val="6F225983"/>
    <w:rsid w:val="6F2304C3"/>
    <w:rsid w:val="6F2D1888"/>
    <w:rsid w:val="6F3919C6"/>
    <w:rsid w:val="6F3D51F4"/>
    <w:rsid w:val="6F621370"/>
    <w:rsid w:val="6F77336D"/>
    <w:rsid w:val="6FA929AC"/>
    <w:rsid w:val="6FE6313A"/>
    <w:rsid w:val="6FFC5590"/>
    <w:rsid w:val="6FFE02FE"/>
    <w:rsid w:val="706D1DD0"/>
    <w:rsid w:val="70856B87"/>
    <w:rsid w:val="70D527EE"/>
    <w:rsid w:val="70E81963"/>
    <w:rsid w:val="710C66BB"/>
    <w:rsid w:val="710F2145"/>
    <w:rsid w:val="715A02A9"/>
    <w:rsid w:val="715B5300"/>
    <w:rsid w:val="716660B2"/>
    <w:rsid w:val="716E0D77"/>
    <w:rsid w:val="718D68CD"/>
    <w:rsid w:val="7192708F"/>
    <w:rsid w:val="71BC566E"/>
    <w:rsid w:val="71C662D4"/>
    <w:rsid w:val="71CC2392"/>
    <w:rsid w:val="71D27F8A"/>
    <w:rsid w:val="71E047E6"/>
    <w:rsid w:val="71F916F6"/>
    <w:rsid w:val="720228AF"/>
    <w:rsid w:val="72263D8E"/>
    <w:rsid w:val="72553024"/>
    <w:rsid w:val="72586F5B"/>
    <w:rsid w:val="72636412"/>
    <w:rsid w:val="727B2231"/>
    <w:rsid w:val="7283439E"/>
    <w:rsid w:val="729E3515"/>
    <w:rsid w:val="72BF0D47"/>
    <w:rsid w:val="72C03FAE"/>
    <w:rsid w:val="72EB2332"/>
    <w:rsid w:val="72F54419"/>
    <w:rsid w:val="73122968"/>
    <w:rsid w:val="731F5D5E"/>
    <w:rsid w:val="73641A20"/>
    <w:rsid w:val="73990031"/>
    <w:rsid w:val="73C51AD5"/>
    <w:rsid w:val="73F07EE9"/>
    <w:rsid w:val="741E793C"/>
    <w:rsid w:val="742C0102"/>
    <w:rsid w:val="745E3944"/>
    <w:rsid w:val="74F11FD2"/>
    <w:rsid w:val="75036F25"/>
    <w:rsid w:val="75066078"/>
    <w:rsid w:val="75733E0C"/>
    <w:rsid w:val="757B129D"/>
    <w:rsid w:val="75846523"/>
    <w:rsid w:val="758562E3"/>
    <w:rsid w:val="75AD26FD"/>
    <w:rsid w:val="75B51893"/>
    <w:rsid w:val="7635099D"/>
    <w:rsid w:val="76822D76"/>
    <w:rsid w:val="769E215C"/>
    <w:rsid w:val="76A3211E"/>
    <w:rsid w:val="77094C80"/>
    <w:rsid w:val="773E23F7"/>
    <w:rsid w:val="775E5ACA"/>
    <w:rsid w:val="77633355"/>
    <w:rsid w:val="77762421"/>
    <w:rsid w:val="777C0468"/>
    <w:rsid w:val="77A6538E"/>
    <w:rsid w:val="77B56B1F"/>
    <w:rsid w:val="77F65032"/>
    <w:rsid w:val="780F09F4"/>
    <w:rsid w:val="7836211A"/>
    <w:rsid w:val="78926B74"/>
    <w:rsid w:val="78967793"/>
    <w:rsid w:val="78A90480"/>
    <w:rsid w:val="78B04144"/>
    <w:rsid w:val="78CA6B30"/>
    <w:rsid w:val="78DC5654"/>
    <w:rsid w:val="79097F2F"/>
    <w:rsid w:val="791E0CE0"/>
    <w:rsid w:val="794F3E9E"/>
    <w:rsid w:val="79561E2D"/>
    <w:rsid w:val="79691FA1"/>
    <w:rsid w:val="79773503"/>
    <w:rsid w:val="79821F4A"/>
    <w:rsid w:val="798A5B59"/>
    <w:rsid w:val="799E5CDD"/>
    <w:rsid w:val="79B429EB"/>
    <w:rsid w:val="79E70F68"/>
    <w:rsid w:val="79E91668"/>
    <w:rsid w:val="7A0F6019"/>
    <w:rsid w:val="7A16433E"/>
    <w:rsid w:val="7A364017"/>
    <w:rsid w:val="7A8265E1"/>
    <w:rsid w:val="7A83621B"/>
    <w:rsid w:val="7ACF16A8"/>
    <w:rsid w:val="7B343FD6"/>
    <w:rsid w:val="7B442ACA"/>
    <w:rsid w:val="7B686D42"/>
    <w:rsid w:val="7B824A65"/>
    <w:rsid w:val="7B841746"/>
    <w:rsid w:val="7B905E62"/>
    <w:rsid w:val="7BA215D8"/>
    <w:rsid w:val="7BAF2921"/>
    <w:rsid w:val="7BD535F8"/>
    <w:rsid w:val="7BE54B5F"/>
    <w:rsid w:val="7C20330E"/>
    <w:rsid w:val="7C466C41"/>
    <w:rsid w:val="7C4C7426"/>
    <w:rsid w:val="7C6C5AC7"/>
    <w:rsid w:val="7C821AEE"/>
    <w:rsid w:val="7CC6544B"/>
    <w:rsid w:val="7D0239FF"/>
    <w:rsid w:val="7D0654C9"/>
    <w:rsid w:val="7D092232"/>
    <w:rsid w:val="7D3C1BA8"/>
    <w:rsid w:val="7D4267B6"/>
    <w:rsid w:val="7D5E40CD"/>
    <w:rsid w:val="7D606B01"/>
    <w:rsid w:val="7D8A1FCD"/>
    <w:rsid w:val="7D8D392F"/>
    <w:rsid w:val="7D9F7CC5"/>
    <w:rsid w:val="7DCD56F2"/>
    <w:rsid w:val="7E277F12"/>
    <w:rsid w:val="7E416E59"/>
    <w:rsid w:val="7E5F2025"/>
    <w:rsid w:val="7E66497D"/>
    <w:rsid w:val="7EB531C7"/>
    <w:rsid w:val="7EBD63DA"/>
    <w:rsid w:val="7ECF7EBD"/>
    <w:rsid w:val="7EED1E00"/>
    <w:rsid w:val="7F001CE7"/>
    <w:rsid w:val="7F0C1626"/>
    <w:rsid w:val="7F2F761B"/>
    <w:rsid w:val="7F3A47F9"/>
    <w:rsid w:val="7F400C12"/>
    <w:rsid w:val="7F5842C1"/>
    <w:rsid w:val="7F5B2037"/>
    <w:rsid w:val="7F85397C"/>
    <w:rsid w:val="7F8A51C2"/>
    <w:rsid w:val="7FC41D8A"/>
    <w:rsid w:val="7FD74F81"/>
    <w:rsid w:val="7FDE2595"/>
    <w:rsid w:val="7FE47E50"/>
    <w:rsid w:val="7FFA0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qFormat="1"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qFormat="1"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ocked="1"/>
    <w:lsdException w:unhideWhenUsed="0" w:uiPriority="0" w:semiHidden="0" w:name="footnote text" w:locked="1"/>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ocked="1"/>
    <w:lsdException w:qFormat="1" w:unhideWhenUsed="0" w:uiPriority="0" w:semiHidden="0" w:name="caption" w:locked="1"/>
    <w:lsdException w:unhideWhenUsed="0" w:uiPriority="0" w:semiHidden="0" w:name="table of figures" w:locked="1"/>
    <w:lsdException w:unhideWhenUsed="0" w:uiPriority="0" w:semiHidden="0" w:name="envelope address" w:locked="1"/>
    <w:lsdException w:qFormat="1" w:unhideWhenUsed="0" w:uiPriority="0" w:semiHidden="0" w:name="envelope return" w:locked="1"/>
    <w:lsdException w:unhideWhenUsed="0" w:uiPriority="0" w:semiHidden="0" w:name="footnote reference" w:locked="1"/>
    <w:lsdException w:qFormat="1" w:unhideWhenUsed="0" w:uiPriority="0" w:name="annotation reference"/>
    <w:lsdException w:unhideWhenUsed="0" w:uiPriority="0" w:semiHidden="0" w:name="line number" w:locked="1"/>
    <w:lsdException w:qFormat="1"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qFormat="1" w:unhideWhenUsed="0" w:uiPriority="0" w:semiHidden="0" w:name="Date"/>
    <w:lsdException w:qFormat="1" w:unhideWhenUsed="0" w:uiPriority="0" w:semiHidden="0" w:name="Body Text First Indent" w:locked="1"/>
    <w:lsdException w:qFormat="1" w:unhideWhenUsed="0" w:uiPriority="0" w:semiHidden="0" w:name="Body Text First Indent 2" w:locked="1"/>
    <w:lsdException w:unhideWhenUsed="0" w:uiPriority="0" w:semiHidden="0" w:name="Note Heading" w:locked="1"/>
    <w:lsdException w:unhideWhenUsed="0" w:uiPriority="0" w:semiHidden="0" w:name="Body Text 2" w:locked="1"/>
    <w:lsdException w:unhideWhenUsed="0" w:uiPriority="0" w:semiHidden="0" w:name="Body Text 3" w:locked="1"/>
    <w:lsdException w:qFormat="1" w:unhideWhenUsed="0" w:uiPriority="0" w:semiHidden="0" w:name="Body Text Indent 2" w:locked="1"/>
    <w:lsdException w:qFormat="1" w:unhideWhenUsed="0" w:uiPriority="0" w:semiHidden="0" w:name="Body Text Indent 3" w:locked="1"/>
    <w:lsdException w:unhideWhenUsed="0" w:uiPriority="0" w:semiHidden="0" w:name="Block Text" w:locked="1"/>
    <w:lsdException w:qFormat="1" w:unhideWhenUsed="0" w:uiPriority="0" w:semiHidden="0" w:name="Hyperlink" w:locked="1"/>
    <w:lsdException w:unhideWhenUsed="0" w:uiPriority="0" w:semiHidden="0" w:name="FollowedHyperlink" w:locked="1"/>
    <w:lsdException w:qFormat="1" w:unhideWhenUsed="0" w:uiPriority="0" w:semiHidden="0" w:name="Strong" w:locked="1"/>
    <w:lsdException w:qFormat="1" w:unhideWhenUsed="0" w:uiPriority="0" w:semiHidden="0" w:name="Emphasis" w:locked="1"/>
    <w:lsdException w:unhideWhenUsed="0" w:uiPriority="0" w:semiHidden="0" w:name="Document Map" w:locked="1"/>
    <w:lsdException w:qFormat="1" w:unhideWhenUsed="0" w:uiPriority="0" w:semiHidden="0" w:name="Plain Text" w:locked="1"/>
    <w:lsdException w:unhideWhenUsed="0" w:uiPriority="0" w:semiHidden="0" w:name="E-mail Signature" w:locked="1"/>
    <w:lsdException w:qFormat="1" w:unhideWhenUsed="0" w:uiPriority="0"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iPriority="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iPriority="99" w:name="Normal Table"/>
    <w:lsdException w:qFormat="1" w:unhideWhenUsed="0" w:uiPriority="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0" w:name="Balloon Text"/>
    <w:lsdException w:qFormat="1" w:unhideWhenUsed="0" w:uiPriority="0"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locked/>
    <w:uiPriority w:val="0"/>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4">
    <w:name w:val="heading 2"/>
    <w:basedOn w:val="1"/>
    <w:next w:val="5"/>
    <w:qFormat/>
    <w:locked/>
    <w:uiPriority w:val="0"/>
    <w:pPr>
      <w:keepNext/>
      <w:keepLines/>
      <w:spacing w:before="60" w:line="500" w:lineRule="exact"/>
      <w:ind w:firstLine="480" w:firstLineChars="200"/>
      <w:outlineLvl w:val="1"/>
    </w:pPr>
    <w:rPr>
      <w:b/>
      <w:bCs/>
      <w:color w:val="055742"/>
      <w:sz w:val="26"/>
      <w:szCs w:val="32"/>
    </w:rPr>
  </w:style>
  <w:style w:type="paragraph" w:styleId="8">
    <w:name w:val="heading 3"/>
    <w:basedOn w:val="1"/>
    <w:next w:val="1"/>
    <w:qFormat/>
    <w:locked/>
    <w:uiPriority w:val="0"/>
    <w:pPr>
      <w:keepNext/>
      <w:keepLines/>
      <w:spacing w:before="60" w:line="500" w:lineRule="exact"/>
      <w:ind w:firstLine="480" w:firstLineChars="200"/>
      <w:outlineLvl w:val="2"/>
    </w:pPr>
    <w:rPr>
      <w:rFonts w:eastAsia="仿宋_GB2312"/>
      <w:b/>
      <w:bCs/>
      <w:color w:val="055742"/>
      <w:sz w:val="26"/>
      <w:szCs w:val="32"/>
    </w:rPr>
  </w:style>
  <w:style w:type="character" w:default="1" w:styleId="27">
    <w:name w:val="Default Paragraph Font"/>
    <w:unhideWhenUsed/>
    <w:qFormat/>
    <w:uiPriority w:val="1"/>
  </w:style>
  <w:style w:type="table" w:default="1" w:styleId="25">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next w:val="1"/>
    <w:qFormat/>
    <w:locked/>
    <w:uiPriority w:val="0"/>
    <w:pPr>
      <w:ind w:firstLine="420"/>
    </w:pPr>
    <w:rPr>
      <w:sz w:val="24"/>
    </w:rPr>
  </w:style>
  <w:style w:type="paragraph" w:styleId="5">
    <w:name w:val="Body Text First Indent"/>
    <w:basedOn w:val="6"/>
    <w:next w:val="1"/>
    <w:qFormat/>
    <w:locked/>
    <w:uiPriority w:val="0"/>
    <w:pPr>
      <w:adjustRightInd w:val="0"/>
      <w:spacing w:before="156" w:beforeLines="50" w:after="0" w:line="360" w:lineRule="auto"/>
      <w:ind w:firstLine="200" w:firstLineChars="200"/>
    </w:pPr>
    <w:rPr>
      <w:szCs w:val="21"/>
    </w:rPr>
  </w:style>
  <w:style w:type="paragraph" w:styleId="6">
    <w:name w:val="Body Text"/>
    <w:basedOn w:val="1"/>
    <w:next w:val="7"/>
    <w:link w:val="43"/>
    <w:qFormat/>
    <w:uiPriority w:val="0"/>
    <w:pPr>
      <w:widowControl/>
      <w:snapToGrid w:val="0"/>
      <w:spacing w:before="60" w:after="160" w:line="259" w:lineRule="auto"/>
      <w:ind w:right="113"/>
    </w:pPr>
    <w:rPr>
      <w:kern w:val="0"/>
      <w:sz w:val="18"/>
      <w:szCs w:val="20"/>
    </w:rPr>
  </w:style>
  <w:style w:type="paragraph" w:customStyle="1" w:styleId="7">
    <w:name w:val="明显引用1"/>
    <w:next w:val="1"/>
    <w:qFormat/>
    <w:uiPriority w:val="0"/>
    <w:pPr>
      <w:wordWrap w:val="0"/>
      <w:spacing w:before="360" w:after="360"/>
      <w:ind w:left="950" w:right="950"/>
      <w:jc w:val="center"/>
    </w:pPr>
    <w:rPr>
      <w:rFonts w:ascii="Times New Roman" w:hAnsi="Times New Roman" w:eastAsia="宋体" w:cs="Times New Roman"/>
      <w:i/>
      <w:sz w:val="21"/>
      <w:lang w:val="en-US" w:eastAsia="zh-CN" w:bidi="ar-SA"/>
    </w:rPr>
  </w:style>
  <w:style w:type="paragraph" w:styleId="9">
    <w:name w:val="caption"/>
    <w:basedOn w:val="1"/>
    <w:next w:val="1"/>
    <w:link w:val="82"/>
    <w:qFormat/>
    <w:locked/>
    <w:uiPriority w:val="0"/>
    <w:pPr>
      <w:jc w:val="center"/>
    </w:pPr>
    <w:rPr>
      <w:b/>
    </w:rPr>
  </w:style>
  <w:style w:type="paragraph" w:styleId="10">
    <w:name w:val="annotation text"/>
    <w:basedOn w:val="1"/>
    <w:link w:val="46"/>
    <w:semiHidden/>
    <w:qFormat/>
    <w:uiPriority w:val="0"/>
    <w:pPr>
      <w:jc w:val="left"/>
    </w:pPr>
    <w:rPr>
      <w:kern w:val="0"/>
      <w:sz w:val="24"/>
      <w:szCs w:val="20"/>
    </w:rPr>
  </w:style>
  <w:style w:type="paragraph" w:styleId="11">
    <w:name w:val="Body Text Indent"/>
    <w:basedOn w:val="1"/>
    <w:next w:val="12"/>
    <w:link w:val="37"/>
    <w:qFormat/>
    <w:uiPriority w:val="0"/>
    <w:pPr>
      <w:spacing w:after="120"/>
      <w:ind w:left="420" w:leftChars="200"/>
    </w:pPr>
    <w:rPr>
      <w:kern w:val="0"/>
      <w:sz w:val="24"/>
      <w:szCs w:val="20"/>
    </w:rPr>
  </w:style>
  <w:style w:type="paragraph" w:styleId="12">
    <w:name w:val="envelope return"/>
    <w:basedOn w:val="1"/>
    <w:qFormat/>
    <w:locked/>
    <w:uiPriority w:val="0"/>
    <w:pPr>
      <w:snapToGrid w:val="0"/>
    </w:pPr>
    <w:rPr>
      <w:rFonts w:ascii="Arial" w:hAnsi="Arial" w:cs="Arial"/>
    </w:rPr>
  </w:style>
  <w:style w:type="paragraph" w:styleId="13">
    <w:name w:val="toc 5"/>
    <w:basedOn w:val="1"/>
    <w:next w:val="1"/>
    <w:qFormat/>
    <w:locked/>
    <w:uiPriority w:val="0"/>
    <w:pPr>
      <w:ind w:left="1680" w:leftChars="800"/>
    </w:pPr>
  </w:style>
  <w:style w:type="paragraph" w:styleId="14">
    <w:name w:val="Plain Text"/>
    <w:basedOn w:val="1"/>
    <w:next w:val="1"/>
    <w:link w:val="96"/>
    <w:qFormat/>
    <w:locked/>
    <w:uiPriority w:val="0"/>
    <w:rPr>
      <w:rFonts w:ascii="宋体" w:hAnsi="Courier New" w:cs="Courier New"/>
      <w:szCs w:val="21"/>
    </w:rPr>
  </w:style>
  <w:style w:type="paragraph" w:styleId="15">
    <w:name w:val="Date"/>
    <w:basedOn w:val="1"/>
    <w:next w:val="1"/>
    <w:link w:val="40"/>
    <w:qFormat/>
    <w:uiPriority w:val="0"/>
    <w:pPr>
      <w:ind w:left="100" w:leftChars="2500"/>
    </w:pPr>
    <w:rPr>
      <w:kern w:val="0"/>
      <w:sz w:val="24"/>
      <w:szCs w:val="20"/>
    </w:rPr>
  </w:style>
  <w:style w:type="paragraph" w:styleId="16">
    <w:name w:val="Body Text Indent 2"/>
    <w:basedOn w:val="1"/>
    <w:qFormat/>
    <w:locked/>
    <w:uiPriority w:val="0"/>
    <w:pPr>
      <w:spacing w:line="460" w:lineRule="exact"/>
      <w:ind w:firstLine="480" w:firstLineChars="200"/>
    </w:pPr>
    <w:rPr>
      <w:color w:val="FF0000"/>
      <w:sz w:val="24"/>
    </w:rPr>
  </w:style>
  <w:style w:type="paragraph" w:styleId="17">
    <w:name w:val="Balloon Text"/>
    <w:basedOn w:val="1"/>
    <w:link w:val="45"/>
    <w:semiHidden/>
    <w:qFormat/>
    <w:uiPriority w:val="0"/>
    <w:rPr>
      <w:kern w:val="0"/>
      <w:sz w:val="18"/>
      <w:szCs w:val="20"/>
    </w:rPr>
  </w:style>
  <w:style w:type="paragraph" w:styleId="18">
    <w:name w:val="footer"/>
    <w:basedOn w:val="1"/>
    <w:link w:val="44"/>
    <w:qFormat/>
    <w:uiPriority w:val="99"/>
    <w:pPr>
      <w:tabs>
        <w:tab w:val="center" w:pos="4153"/>
        <w:tab w:val="right" w:pos="8306"/>
      </w:tabs>
      <w:snapToGrid w:val="0"/>
      <w:jc w:val="left"/>
    </w:pPr>
    <w:rPr>
      <w:kern w:val="0"/>
      <w:sz w:val="18"/>
      <w:szCs w:val="20"/>
    </w:rPr>
  </w:style>
  <w:style w:type="paragraph" w:styleId="19">
    <w:name w:val="header"/>
    <w:basedOn w:val="1"/>
    <w:link w:val="42"/>
    <w:qFormat/>
    <w:uiPriority w:val="0"/>
    <w:pPr>
      <w:pBdr>
        <w:bottom w:val="single" w:color="auto" w:sz="6" w:space="1"/>
      </w:pBdr>
      <w:tabs>
        <w:tab w:val="center" w:pos="4153"/>
        <w:tab w:val="right" w:pos="8306"/>
      </w:tabs>
      <w:snapToGrid w:val="0"/>
      <w:jc w:val="center"/>
    </w:pPr>
    <w:rPr>
      <w:kern w:val="0"/>
      <w:sz w:val="18"/>
      <w:szCs w:val="20"/>
    </w:rPr>
  </w:style>
  <w:style w:type="paragraph" w:styleId="20">
    <w:name w:val="toc 1"/>
    <w:basedOn w:val="1"/>
    <w:next w:val="1"/>
    <w:qFormat/>
    <w:locked/>
    <w:uiPriority w:val="0"/>
  </w:style>
  <w:style w:type="paragraph" w:styleId="21">
    <w:name w:val="Body Text Indent 3"/>
    <w:basedOn w:val="1"/>
    <w:qFormat/>
    <w:locked/>
    <w:uiPriority w:val="0"/>
    <w:pPr>
      <w:spacing w:line="360" w:lineRule="auto"/>
      <w:ind w:firstLine="471" w:firstLineChars="200"/>
    </w:pPr>
    <w:rPr>
      <w:rFonts w:ascii="宋体" w:hAnsi="宋体"/>
      <w:sz w:val="24"/>
    </w:rPr>
  </w:style>
  <w:style w:type="paragraph" w:styleId="22">
    <w:name w:val="Normal (Web)"/>
    <w:basedOn w:val="1"/>
    <w:link w:val="32"/>
    <w:qFormat/>
    <w:uiPriority w:val="0"/>
    <w:pPr>
      <w:widowControl/>
      <w:spacing w:before="100" w:beforeAutospacing="1" w:after="100" w:afterAutospacing="1"/>
      <w:jc w:val="left"/>
    </w:pPr>
    <w:rPr>
      <w:rFonts w:ascii="宋体" w:hAnsi="宋体"/>
      <w:kern w:val="0"/>
      <w:sz w:val="24"/>
      <w:szCs w:val="20"/>
    </w:rPr>
  </w:style>
  <w:style w:type="paragraph" w:styleId="23">
    <w:name w:val="annotation subject"/>
    <w:basedOn w:val="10"/>
    <w:next w:val="10"/>
    <w:link w:val="47"/>
    <w:semiHidden/>
    <w:qFormat/>
    <w:uiPriority w:val="0"/>
    <w:rPr>
      <w:b/>
    </w:rPr>
  </w:style>
  <w:style w:type="paragraph" w:styleId="24">
    <w:name w:val="Body Text First Indent 2"/>
    <w:basedOn w:val="11"/>
    <w:next w:val="1"/>
    <w:qFormat/>
    <w:locked/>
    <w:uiPriority w:val="0"/>
    <w:pPr>
      <w:ind w:firstLine="420" w:firstLineChars="200"/>
    </w:pPr>
  </w:style>
  <w:style w:type="table" w:styleId="26">
    <w:name w:val="Table Grid"/>
    <w:basedOn w:val="2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8">
    <w:name w:val="Strong"/>
    <w:qFormat/>
    <w:locked/>
    <w:uiPriority w:val="0"/>
    <w:rPr>
      <w:rFonts w:ascii="宋体" w:hAnsi="宋体" w:cs="宋体"/>
      <w:b/>
      <w:bCs/>
      <w:sz w:val="24"/>
      <w:szCs w:val="24"/>
    </w:rPr>
  </w:style>
  <w:style w:type="character" w:styleId="29">
    <w:name w:val="page number"/>
    <w:basedOn w:val="27"/>
    <w:qFormat/>
    <w:locked/>
    <w:uiPriority w:val="0"/>
  </w:style>
  <w:style w:type="character" w:styleId="30">
    <w:name w:val="Hyperlink"/>
    <w:qFormat/>
    <w:locked/>
    <w:uiPriority w:val="0"/>
    <w:rPr>
      <w:color w:val="0000FF"/>
      <w:u w:val="single"/>
    </w:rPr>
  </w:style>
  <w:style w:type="character" w:styleId="31">
    <w:name w:val="annotation reference"/>
    <w:semiHidden/>
    <w:qFormat/>
    <w:uiPriority w:val="0"/>
    <w:rPr>
      <w:sz w:val="21"/>
    </w:rPr>
  </w:style>
  <w:style w:type="character" w:customStyle="1" w:styleId="32">
    <w:name w:val="普通(网站) 字符"/>
    <w:link w:val="22"/>
    <w:qFormat/>
    <w:locked/>
    <w:uiPriority w:val="0"/>
    <w:rPr>
      <w:rFonts w:ascii="宋体" w:hAnsi="宋体" w:eastAsia="宋体"/>
      <w:sz w:val="24"/>
    </w:rPr>
  </w:style>
  <w:style w:type="character" w:customStyle="1" w:styleId="33">
    <w:name w:val="页脚 字符"/>
    <w:basedOn w:val="27"/>
    <w:qFormat/>
    <w:uiPriority w:val="99"/>
  </w:style>
  <w:style w:type="character" w:customStyle="1" w:styleId="34">
    <w:name w:val="日期 字符"/>
    <w:semiHidden/>
    <w:qFormat/>
    <w:uiPriority w:val="0"/>
    <w:rPr>
      <w:rFonts w:ascii="Times New Roman" w:hAnsi="Times New Roman" w:eastAsia="宋体"/>
      <w:sz w:val="24"/>
    </w:rPr>
  </w:style>
  <w:style w:type="character" w:customStyle="1" w:styleId="35">
    <w:name w:val="表格 Char"/>
    <w:link w:val="36"/>
    <w:qFormat/>
    <w:locked/>
    <w:uiPriority w:val="0"/>
    <w:rPr>
      <w:rFonts w:ascii="宋体"/>
      <w:sz w:val="21"/>
    </w:rPr>
  </w:style>
  <w:style w:type="paragraph" w:customStyle="1" w:styleId="36">
    <w:name w:val="表格"/>
    <w:basedOn w:val="1"/>
    <w:next w:val="1"/>
    <w:link w:val="35"/>
    <w:qFormat/>
    <w:uiPriority w:val="0"/>
    <w:pPr>
      <w:adjustRightInd w:val="0"/>
      <w:snapToGrid w:val="0"/>
      <w:spacing w:beforeLines="10" w:afterLines="10" w:line="259" w:lineRule="auto"/>
      <w:jc w:val="center"/>
    </w:pPr>
    <w:rPr>
      <w:rFonts w:ascii="宋体"/>
      <w:kern w:val="0"/>
      <w:szCs w:val="20"/>
    </w:rPr>
  </w:style>
  <w:style w:type="character" w:customStyle="1" w:styleId="37">
    <w:name w:val="正文文本缩进 字符"/>
    <w:link w:val="11"/>
    <w:semiHidden/>
    <w:qFormat/>
    <w:locked/>
    <w:uiPriority w:val="0"/>
    <w:rPr>
      <w:rFonts w:ascii="Times New Roman" w:hAnsi="Times New Roman" w:eastAsia="宋体"/>
      <w:sz w:val="24"/>
    </w:rPr>
  </w:style>
  <w:style w:type="character" w:customStyle="1" w:styleId="38">
    <w:name w:val="fontstyle01"/>
    <w:qFormat/>
    <w:uiPriority w:val="0"/>
    <w:rPr>
      <w:rFonts w:hint="eastAsia" w:ascii="宋体" w:hAnsi="宋体" w:eastAsia="宋体"/>
      <w:color w:val="000000"/>
      <w:sz w:val="24"/>
      <w:szCs w:val="24"/>
    </w:rPr>
  </w:style>
  <w:style w:type="character" w:customStyle="1" w:styleId="39">
    <w:name w:val="批注文字 字符1"/>
    <w:semiHidden/>
    <w:qFormat/>
    <w:uiPriority w:val="0"/>
    <w:rPr>
      <w:rFonts w:ascii="Times New Roman" w:hAnsi="Times New Roman" w:eastAsia="宋体"/>
      <w:sz w:val="24"/>
    </w:rPr>
  </w:style>
  <w:style w:type="character" w:customStyle="1" w:styleId="40">
    <w:name w:val="日期 字符1"/>
    <w:link w:val="15"/>
    <w:qFormat/>
    <w:locked/>
    <w:uiPriority w:val="0"/>
    <w:rPr>
      <w:rFonts w:ascii="Times New Roman" w:hAnsi="Times New Roman" w:eastAsia="宋体"/>
      <w:sz w:val="24"/>
    </w:rPr>
  </w:style>
  <w:style w:type="character" w:customStyle="1" w:styleId="41">
    <w:name w:val="fontstyle21"/>
    <w:qFormat/>
    <w:uiPriority w:val="0"/>
    <w:rPr>
      <w:rFonts w:hint="default" w:ascii="TimesNewRomanPSMT" w:hAnsi="TimesNewRomanPSMT"/>
      <w:color w:val="000000"/>
      <w:sz w:val="24"/>
      <w:szCs w:val="24"/>
    </w:rPr>
  </w:style>
  <w:style w:type="character" w:customStyle="1" w:styleId="42">
    <w:name w:val="页眉 字符"/>
    <w:link w:val="19"/>
    <w:qFormat/>
    <w:locked/>
    <w:uiPriority w:val="0"/>
    <w:rPr>
      <w:sz w:val="18"/>
    </w:rPr>
  </w:style>
  <w:style w:type="character" w:customStyle="1" w:styleId="43">
    <w:name w:val="正文文本 字符"/>
    <w:link w:val="6"/>
    <w:qFormat/>
    <w:locked/>
    <w:uiPriority w:val="0"/>
    <w:rPr>
      <w:sz w:val="18"/>
    </w:rPr>
  </w:style>
  <w:style w:type="character" w:customStyle="1" w:styleId="44">
    <w:name w:val="页脚 字符1"/>
    <w:link w:val="18"/>
    <w:qFormat/>
    <w:locked/>
    <w:uiPriority w:val="99"/>
    <w:rPr>
      <w:sz w:val="18"/>
    </w:rPr>
  </w:style>
  <w:style w:type="character" w:customStyle="1" w:styleId="45">
    <w:name w:val="批注框文本 字符"/>
    <w:link w:val="17"/>
    <w:semiHidden/>
    <w:qFormat/>
    <w:locked/>
    <w:uiPriority w:val="0"/>
    <w:rPr>
      <w:rFonts w:ascii="Times New Roman" w:hAnsi="Times New Roman" w:eastAsia="宋体"/>
      <w:sz w:val="18"/>
    </w:rPr>
  </w:style>
  <w:style w:type="character" w:customStyle="1" w:styleId="46">
    <w:name w:val="批注文字 字符"/>
    <w:link w:val="10"/>
    <w:qFormat/>
    <w:locked/>
    <w:uiPriority w:val="0"/>
    <w:rPr>
      <w:rFonts w:ascii="Times New Roman" w:hAnsi="Times New Roman" w:eastAsia="宋体"/>
      <w:sz w:val="24"/>
    </w:rPr>
  </w:style>
  <w:style w:type="character" w:customStyle="1" w:styleId="47">
    <w:name w:val="批注主题 字符"/>
    <w:link w:val="23"/>
    <w:semiHidden/>
    <w:qFormat/>
    <w:locked/>
    <w:uiPriority w:val="0"/>
    <w:rPr>
      <w:rFonts w:ascii="Times New Roman" w:hAnsi="Times New Roman" w:eastAsia="宋体"/>
      <w:b/>
      <w:kern w:val="2"/>
      <w:sz w:val="24"/>
    </w:rPr>
  </w:style>
  <w:style w:type="character" w:customStyle="1" w:styleId="48">
    <w:name w:val="正文文本 字符1"/>
    <w:semiHidden/>
    <w:qFormat/>
    <w:uiPriority w:val="0"/>
    <w:rPr>
      <w:rFonts w:ascii="Times New Roman" w:hAnsi="Times New Roman" w:eastAsia="宋体"/>
      <w:sz w:val="24"/>
    </w:rPr>
  </w:style>
  <w:style w:type="paragraph" w:customStyle="1" w:styleId="49">
    <w:name w:val="表文字"/>
    <w:basedOn w:val="1"/>
    <w:link w:val="90"/>
    <w:qFormat/>
    <w:uiPriority w:val="0"/>
    <w:pPr>
      <w:widowControl/>
      <w:jc w:val="center"/>
    </w:pPr>
    <w:rPr>
      <w:szCs w:val="21"/>
    </w:rPr>
  </w:style>
  <w:style w:type="paragraph" w:customStyle="1" w:styleId="50">
    <w:name w:val="WPSOffice手动目录 1"/>
    <w:qFormat/>
    <w:uiPriority w:val="0"/>
    <w:rPr>
      <w:rFonts w:ascii="Times New Roman" w:hAnsi="Times New Roman" w:eastAsia="宋体" w:cs="Times New Roman"/>
      <w:lang w:val="en-US" w:eastAsia="zh-CN" w:bidi="ar-SA"/>
    </w:rPr>
  </w:style>
  <w:style w:type="paragraph" w:customStyle="1" w:styleId="51">
    <w:name w:val="特殊标题３"/>
    <w:basedOn w:val="1"/>
    <w:qFormat/>
    <w:uiPriority w:val="0"/>
    <w:pPr>
      <w:overflowPunct w:val="0"/>
      <w:autoSpaceDE w:val="0"/>
      <w:autoSpaceDN w:val="0"/>
      <w:spacing w:line="360" w:lineRule="auto"/>
    </w:pPr>
    <w:rPr>
      <w:rFonts w:eastAsia="仿宋_GB2312"/>
      <w:sz w:val="28"/>
    </w:rPr>
  </w:style>
  <w:style w:type="paragraph" w:customStyle="1" w:styleId="52">
    <w:name w:val="图表标题"/>
    <w:basedOn w:val="1"/>
    <w:qFormat/>
    <w:uiPriority w:val="0"/>
    <w:pPr>
      <w:spacing w:before="48" w:after="120"/>
      <w:jc w:val="center"/>
      <w:outlineLvl w:val="4"/>
    </w:pPr>
    <w:rPr>
      <w:rFonts w:eastAsia="黑体"/>
      <w:b/>
      <w:snapToGrid w:val="0"/>
      <w:kern w:val="0"/>
    </w:rPr>
  </w:style>
  <w:style w:type="paragraph" w:customStyle="1" w:styleId="53">
    <w:name w:val="Char1"/>
    <w:basedOn w:val="1"/>
    <w:qFormat/>
    <w:uiPriority w:val="0"/>
    <w:rPr>
      <w:sz w:val="24"/>
    </w:rPr>
  </w:style>
  <w:style w:type="paragraph" w:customStyle="1" w:styleId="54">
    <w:name w:val="表头"/>
    <w:basedOn w:val="1"/>
    <w:next w:val="1"/>
    <w:qFormat/>
    <w:uiPriority w:val="0"/>
    <w:pPr>
      <w:jc w:val="center"/>
    </w:pPr>
    <w:rPr>
      <w:b/>
      <w:bCs/>
      <w:kern w:val="0"/>
      <w:szCs w:val="21"/>
    </w:rPr>
  </w:style>
  <w:style w:type="paragraph" w:customStyle="1" w:styleId="55">
    <w:name w:val="一级条标题"/>
    <w:basedOn w:val="56"/>
    <w:next w:val="57"/>
    <w:qFormat/>
    <w:uiPriority w:val="0"/>
    <w:pPr>
      <w:numPr>
        <w:ilvl w:val="2"/>
        <w:numId w:val="1"/>
      </w:numPr>
      <w:spacing w:before="0" w:beforeLines="0" w:after="0" w:afterLines="0"/>
      <w:outlineLvl w:val="2"/>
    </w:pPr>
  </w:style>
  <w:style w:type="paragraph" w:customStyle="1" w:styleId="56">
    <w:name w:val="章标题"/>
    <w:next w:val="57"/>
    <w:qFormat/>
    <w:uiPriority w:val="0"/>
    <w:pPr>
      <w:spacing w:before="156" w:beforeLines="50" w:after="156" w:afterLines="50"/>
      <w:jc w:val="both"/>
      <w:outlineLvl w:val="1"/>
    </w:pPr>
    <w:rPr>
      <w:rFonts w:ascii="黑体" w:hAnsi="Times New Roman" w:eastAsia="黑体" w:cs="Times New Roman"/>
      <w:sz w:val="21"/>
      <w:szCs w:val="22"/>
      <w:lang w:val="en-US" w:eastAsia="zh-CN" w:bidi="ar-SA"/>
    </w:rPr>
  </w:style>
  <w:style w:type="paragraph" w:customStyle="1" w:styleId="57">
    <w:name w:val="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58">
    <w:name w:val="表格文字"/>
    <w:basedOn w:val="5"/>
    <w:next w:val="1"/>
    <w:qFormat/>
    <w:uiPriority w:val="0"/>
    <w:pPr>
      <w:ind w:firstLine="0" w:firstLineChars="0"/>
      <w:jc w:val="center"/>
    </w:pPr>
    <w:rPr>
      <w:sz w:val="21"/>
    </w:rPr>
  </w:style>
  <w:style w:type="paragraph" w:customStyle="1" w:styleId="59">
    <w:name w:val="p0"/>
    <w:basedOn w:val="1"/>
    <w:qFormat/>
    <w:uiPriority w:val="0"/>
    <w:pPr>
      <w:widowControl/>
    </w:pPr>
    <w:rPr>
      <w:kern w:val="0"/>
      <w:szCs w:val="21"/>
    </w:rPr>
  </w:style>
  <w:style w:type="paragraph" w:customStyle="1" w:styleId="60">
    <w:name w:val="xl27"/>
    <w:basedOn w:val="1"/>
    <w:qFormat/>
    <w:uiPriority w:val="0"/>
    <w:pPr>
      <w:widowControl/>
      <w:pBdr>
        <w:bottom w:val="single" w:color="auto" w:sz="4" w:space="0"/>
        <w:right w:val="single" w:color="auto" w:sz="4" w:space="0"/>
      </w:pBdr>
      <w:spacing w:before="100" w:beforeAutospacing="1" w:after="100" w:afterAutospacing="1"/>
      <w:jc w:val="center"/>
    </w:pPr>
    <w:rPr>
      <w:rFonts w:eastAsia="Arial Unicode MS"/>
      <w:kern w:val="0"/>
      <w:szCs w:val="21"/>
    </w:rPr>
  </w:style>
  <w:style w:type="paragraph" w:customStyle="1" w:styleId="61">
    <w:name w:val="Default"/>
    <w:next w:val="6"/>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2">
    <w:name w:val="标槝2"/>
    <w:basedOn w:val="4"/>
    <w:next w:val="1"/>
    <w:qFormat/>
    <w:uiPriority w:val="0"/>
    <w:pPr>
      <w:keepNext w:val="0"/>
      <w:keepLines w:val="0"/>
      <w:tabs>
        <w:tab w:val="right" w:pos="1916"/>
      </w:tabs>
      <w:spacing w:before="0" w:line="480" w:lineRule="exact"/>
      <w:ind w:left="-2" w:leftChars="-1" w:firstLine="0" w:firstLineChars="0"/>
      <w:jc w:val="left"/>
      <w:outlineLvl w:val="9"/>
    </w:pPr>
    <w:rPr>
      <w:rFonts w:ascii="黑体" w:hAnsi="宋体" w:eastAsia="黑体"/>
      <w:color w:val="auto"/>
      <w:sz w:val="30"/>
      <w:szCs w:val="30"/>
    </w:rPr>
  </w:style>
  <w:style w:type="paragraph" w:customStyle="1" w:styleId="63">
    <w:name w:val="表格内容居中"/>
    <w:qFormat/>
    <w:uiPriority w:val="0"/>
    <w:pPr>
      <w:adjustRightInd w:val="0"/>
      <w:snapToGrid w:val="0"/>
      <w:jc w:val="center"/>
    </w:pPr>
    <w:rPr>
      <w:rFonts w:ascii="Times New Roman" w:hAnsi="Times New Roman" w:eastAsia="宋体" w:cs="Times New Roman"/>
      <w:sz w:val="21"/>
      <w:szCs w:val="21"/>
      <w:lang w:val="en-US" w:eastAsia="zh-CN" w:bidi="ar-SA"/>
    </w:rPr>
  </w:style>
  <w:style w:type="paragraph" w:customStyle="1" w:styleId="64">
    <w:name w:val="Other|1"/>
    <w:basedOn w:val="1"/>
    <w:qFormat/>
    <w:uiPriority w:val="0"/>
    <w:rPr>
      <w:rFonts w:ascii="黑体" w:hAnsi="黑体" w:eastAsia="黑体" w:cs="黑体"/>
      <w:sz w:val="19"/>
      <w:szCs w:val="19"/>
      <w:lang w:val="zh-TW" w:eastAsia="zh-TW" w:bidi="zh-TW"/>
    </w:rPr>
  </w:style>
  <w:style w:type="paragraph" w:customStyle="1" w:styleId="65">
    <w:name w:val="常用原表字体"/>
    <w:basedOn w:val="1"/>
    <w:next w:val="1"/>
    <w:qFormat/>
    <w:uiPriority w:val="0"/>
    <w:pPr>
      <w:jc w:val="left"/>
    </w:pPr>
    <w:rPr>
      <w:rFonts w:ascii="宋体" w:hAnsi="宋体" w:cs="宋体"/>
      <w:b/>
      <w:bCs/>
      <w:kern w:val="28"/>
      <w:sz w:val="24"/>
      <w:szCs w:val="20"/>
    </w:rPr>
  </w:style>
  <w:style w:type="paragraph" w:customStyle="1" w:styleId="66">
    <w:name w:val="表格内文字"/>
    <w:qFormat/>
    <w:uiPriority w:val="0"/>
    <w:pPr>
      <w:jc w:val="center"/>
    </w:pPr>
    <w:rPr>
      <w:rFonts w:ascii="宋体" w:hAnsi="宋体" w:eastAsia="宋体" w:cs="宋体"/>
      <w:kern w:val="2"/>
      <w:sz w:val="21"/>
      <w:szCs w:val="21"/>
      <w:lang w:val="en-US" w:eastAsia="zh-CN" w:bidi="ar-SA"/>
    </w:rPr>
  </w:style>
  <w:style w:type="paragraph" w:customStyle="1" w:styleId="67">
    <w:name w:val="正文1"/>
    <w:basedOn w:val="1"/>
    <w:link w:val="87"/>
    <w:qFormat/>
    <w:uiPriority w:val="0"/>
    <w:pPr>
      <w:spacing w:line="360" w:lineRule="auto"/>
      <w:ind w:firstLine="482"/>
    </w:pPr>
    <w:rPr>
      <w:sz w:val="24"/>
    </w:rPr>
  </w:style>
  <w:style w:type="paragraph" w:customStyle="1" w:styleId="68">
    <w:name w:val="正文_1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9">
    <w:name w:val="1文章"/>
    <w:basedOn w:val="1"/>
    <w:qFormat/>
    <w:uiPriority w:val="0"/>
    <w:pPr>
      <w:spacing w:line="360" w:lineRule="auto"/>
      <w:ind w:firstLine="573"/>
    </w:pPr>
    <w:rPr>
      <w:rFonts w:eastAsia="楷体_GB2312"/>
      <w:sz w:val="28"/>
    </w:rPr>
  </w:style>
  <w:style w:type="paragraph" w:customStyle="1" w:styleId="70">
    <w:name w:val="样式 首行缩进:  0.85 厘米"/>
    <w:basedOn w:val="1"/>
    <w:qFormat/>
    <w:uiPriority w:val="0"/>
    <w:pPr>
      <w:spacing w:before="50" w:line="360" w:lineRule="auto"/>
      <w:ind w:firstLine="482"/>
    </w:pPr>
    <w:rPr>
      <w:kern w:val="0"/>
      <w:sz w:val="24"/>
    </w:rPr>
  </w:style>
  <w:style w:type="paragraph" w:customStyle="1" w:styleId="71">
    <w:name w:val="表格标题"/>
    <w:link w:val="84"/>
    <w:qFormat/>
    <w:uiPriority w:val="0"/>
    <w:pPr>
      <w:tabs>
        <w:tab w:val="right" w:leader="dot" w:pos="8296"/>
      </w:tabs>
      <w:jc w:val="center"/>
    </w:pPr>
    <w:rPr>
      <w:rFonts w:ascii="Times New Roman" w:hAnsi="Times New Roman" w:eastAsia="宋体" w:cs="宋体"/>
      <w:b/>
      <w:color w:val="000000"/>
      <w:kern w:val="2"/>
      <w:sz w:val="21"/>
      <w:szCs w:val="24"/>
      <w:lang w:val="en-US" w:eastAsia="zh-CN" w:bidi="ar-SA"/>
    </w:rPr>
  </w:style>
  <w:style w:type="paragraph" w:customStyle="1" w:styleId="72">
    <w:name w:val="四级条标题"/>
    <w:basedOn w:val="73"/>
    <w:next w:val="57"/>
    <w:qFormat/>
    <w:uiPriority w:val="0"/>
    <w:pPr>
      <w:tabs>
        <w:tab w:val="left" w:pos="1260"/>
        <w:tab w:val="left" w:pos="1680"/>
      </w:tabs>
      <w:outlineLvl w:val="5"/>
    </w:pPr>
    <w:rPr>
      <w:szCs w:val="20"/>
    </w:rPr>
  </w:style>
  <w:style w:type="paragraph" w:customStyle="1" w:styleId="73">
    <w:name w:val="三级条标题"/>
    <w:basedOn w:val="74"/>
    <w:next w:val="57"/>
    <w:qFormat/>
    <w:uiPriority w:val="0"/>
    <w:pPr>
      <w:numPr>
        <w:numId w:val="0"/>
      </w:numPr>
      <w:tabs>
        <w:tab w:val="left" w:pos="1260"/>
        <w:tab w:val="left" w:pos="1680"/>
      </w:tabs>
      <w:outlineLvl w:val="4"/>
    </w:pPr>
  </w:style>
  <w:style w:type="paragraph" w:customStyle="1" w:styleId="74">
    <w:name w:val="二级条标题"/>
    <w:basedOn w:val="55"/>
    <w:next w:val="57"/>
    <w:qFormat/>
    <w:uiPriority w:val="0"/>
    <w:pPr>
      <w:numPr>
        <w:ilvl w:val="3"/>
      </w:numPr>
      <w:tabs>
        <w:tab w:val="left" w:pos="1680"/>
      </w:tabs>
      <w:outlineLvl w:val="3"/>
    </w:pPr>
  </w:style>
  <w:style w:type="paragraph" w:customStyle="1" w:styleId="75">
    <w:name w:val="表格内容"/>
    <w:basedOn w:val="36"/>
    <w:link w:val="85"/>
    <w:qFormat/>
    <w:uiPriority w:val="0"/>
    <w:rPr>
      <w:rFonts w:ascii="Times New Roman"/>
      <w:szCs w:val="21"/>
    </w:rPr>
  </w:style>
  <w:style w:type="paragraph" w:customStyle="1" w:styleId="76">
    <w:name w:val="正文格式"/>
    <w:basedOn w:val="1"/>
    <w:qFormat/>
    <w:uiPriority w:val="0"/>
    <w:pPr>
      <w:spacing w:line="360" w:lineRule="auto"/>
      <w:ind w:firstLine="560" w:firstLineChars="200"/>
    </w:pPr>
    <w:rPr>
      <w:rFonts w:ascii="宋体" w:hAnsi="宋体"/>
      <w:sz w:val="28"/>
      <w:szCs w:val="28"/>
    </w:rPr>
  </w:style>
  <w:style w:type="paragraph" w:customStyle="1" w:styleId="77">
    <w:name w:val="Table Paragraph"/>
    <w:basedOn w:val="1"/>
    <w:qFormat/>
    <w:uiPriority w:val="1"/>
  </w:style>
  <w:style w:type="paragraph" w:customStyle="1" w:styleId="78">
    <w:name w:val="表格标题2"/>
    <w:basedOn w:val="16"/>
    <w:next w:val="16"/>
    <w:qFormat/>
    <w:uiPriority w:val="0"/>
    <w:pPr>
      <w:adjustRightInd w:val="0"/>
      <w:snapToGrid w:val="0"/>
      <w:spacing w:line="240" w:lineRule="auto"/>
      <w:ind w:firstLine="0"/>
      <w:jc w:val="center"/>
      <w:textAlignment w:val="baseline"/>
    </w:pPr>
    <w:rPr>
      <w:b/>
    </w:rPr>
  </w:style>
  <w:style w:type="paragraph" w:customStyle="1" w:styleId="79">
    <w:name w:val="表格1"/>
    <w:basedOn w:val="36"/>
    <w:qFormat/>
    <w:uiPriority w:val="0"/>
    <w:rPr>
      <w:szCs w:val="21"/>
      <w:lang w:bidi="th-TH"/>
    </w:rPr>
  </w:style>
  <w:style w:type="paragraph" w:customStyle="1" w:styleId="80">
    <w:name w:val="文本正文"/>
    <w:basedOn w:val="1"/>
    <w:qFormat/>
    <w:uiPriority w:val="0"/>
    <w:pPr>
      <w:spacing w:line="360" w:lineRule="auto"/>
      <w:ind w:firstLine="480" w:firstLineChars="200"/>
    </w:pPr>
    <w:rPr>
      <w:sz w:val="24"/>
    </w:rPr>
  </w:style>
  <w:style w:type="paragraph" w:customStyle="1" w:styleId="81">
    <w:name w:val="普通(网站)2"/>
    <w:basedOn w:val="1"/>
    <w:qFormat/>
    <w:uiPriority w:val="0"/>
    <w:pPr>
      <w:widowControl/>
      <w:spacing w:before="100" w:beforeAutospacing="1" w:after="100" w:afterAutospacing="1"/>
      <w:jc w:val="left"/>
    </w:pPr>
    <w:rPr>
      <w:rFonts w:ascii="宋体" w:hAnsi="宋体"/>
      <w:sz w:val="24"/>
      <w:szCs w:val="20"/>
    </w:rPr>
  </w:style>
  <w:style w:type="character" w:customStyle="1" w:styleId="82">
    <w:name w:val="题注 字符"/>
    <w:link w:val="9"/>
    <w:qFormat/>
    <w:uiPriority w:val="0"/>
    <w:rPr>
      <w:b/>
      <w:kern w:val="2"/>
      <w:sz w:val="21"/>
      <w:szCs w:val="24"/>
    </w:rPr>
  </w:style>
  <w:style w:type="paragraph" w:customStyle="1" w:styleId="83">
    <w:name w:val="S报告正文"/>
    <w:basedOn w:val="1"/>
    <w:qFormat/>
    <w:uiPriority w:val="0"/>
    <w:pPr>
      <w:adjustRightInd w:val="0"/>
      <w:snapToGrid w:val="0"/>
      <w:spacing w:line="480" w:lineRule="exact"/>
      <w:ind w:firstLine="510"/>
      <w:jc w:val="left"/>
    </w:pPr>
    <w:rPr>
      <w:sz w:val="24"/>
    </w:rPr>
  </w:style>
  <w:style w:type="character" w:customStyle="1" w:styleId="84">
    <w:name w:val="表格标题 Char"/>
    <w:link w:val="71"/>
    <w:qFormat/>
    <w:uiPriority w:val="0"/>
    <w:rPr>
      <w:rFonts w:cs="宋体"/>
      <w:b/>
      <w:color w:val="000000"/>
      <w:kern w:val="2"/>
      <w:sz w:val="21"/>
      <w:szCs w:val="24"/>
    </w:rPr>
  </w:style>
  <w:style w:type="character" w:customStyle="1" w:styleId="85">
    <w:name w:val="表格内容 Char"/>
    <w:link w:val="75"/>
    <w:qFormat/>
    <w:locked/>
    <w:uiPriority w:val="0"/>
    <w:rPr>
      <w:sz w:val="21"/>
      <w:szCs w:val="21"/>
    </w:rPr>
  </w:style>
  <w:style w:type="table" w:customStyle="1" w:styleId="86">
    <w:name w:val="表格样式1"/>
    <w:basedOn w:val="25"/>
    <w:qFormat/>
    <w:uiPriority w:val="0"/>
    <w:pPr>
      <w:jc w:val="center"/>
    </w:pPr>
    <w:rPr>
      <w:sz w:val="21"/>
    </w:rPr>
    <w:tblPr>
      <w:tblBorders>
        <w:top w:val="single" w:color="auto" w:sz="12" w:space="0"/>
        <w:bottom w:val="single" w:color="auto" w:sz="12" w:space="0"/>
        <w:insideH w:val="single" w:color="auto" w:sz="6" w:space="0"/>
        <w:insideV w:val="single" w:color="auto" w:sz="6" w:space="0"/>
      </w:tblBorders>
      <w:tblLayout w:type="fixed"/>
      <w:tblCellMar>
        <w:left w:w="57" w:type="dxa"/>
        <w:right w:w="57" w:type="dxa"/>
      </w:tblCellMar>
    </w:tblPr>
    <w:tcPr>
      <w:vAlign w:val="center"/>
    </w:tcPr>
  </w:style>
  <w:style w:type="character" w:customStyle="1" w:styleId="87">
    <w:name w:val="正文1 字符"/>
    <w:link w:val="67"/>
    <w:qFormat/>
    <w:uiPriority w:val="0"/>
    <w:rPr>
      <w:kern w:val="2"/>
      <w:sz w:val="24"/>
      <w:szCs w:val="24"/>
    </w:rPr>
  </w:style>
  <w:style w:type="character" w:customStyle="1" w:styleId="88">
    <w:name w:val="样式6565656 Char"/>
    <w:link w:val="89"/>
    <w:qFormat/>
    <w:uiPriority w:val="0"/>
    <w:rPr>
      <w:rFonts w:hAnsi="宋体"/>
      <w:bCs/>
      <w:kern w:val="2"/>
      <w:sz w:val="24"/>
      <w:szCs w:val="24"/>
    </w:rPr>
  </w:style>
  <w:style w:type="paragraph" w:customStyle="1" w:styleId="89">
    <w:name w:val="样式6565656"/>
    <w:basedOn w:val="1"/>
    <w:link w:val="88"/>
    <w:qFormat/>
    <w:uiPriority w:val="0"/>
    <w:pPr>
      <w:adjustRightInd w:val="0"/>
      <w:snapToGrid w:val="0"/>
      <w:spacing w:line="460" w:lineRule="atLeast"/>
      <w:ind w:firstLine="480" w:firstLineChars="200"/>
      <w:jc w:val="left"/>
    </w:pPr>
    <w:rPr>
      <w:rFonts w:hAnsi="宋体"/>
      <w:bCs/>
      <w:sz w:val="24"/>
    </w:rPr>
  </w:style>
  <w:style w:type="character" w:customStyle="1" w:styleId="90">
    <w:name w:val="表文字 Char"/>
    <w:link w:val="49"/>
    <w:qFormat/>
    <w:locked/>
    <w:uiPriority w:val="0"/>
    <w:rPr>
      <w:kern w:val="2"/>
      <w:sz w:val="21"/>
      <w:szCs w:val="21"/>
    </w:rPr>
  </w:style>
  <w:style w:type="paragraph" w:customStyle="1" w:styleId="91">
    <w:name w:val="样式 标题 3 + 段前: 0.5 行 行距: 1.5 倍行距"/>
    <w:basedOn w:val="8"/>
    <w:qFormat/>
    <w:uiPriority w:val="0"/>
    <w:pPr>
      <w:spacing w:before="0" w:line="360" w:lineRule="auto"/>
      <w:ind w:left="567" w:hanging="567" w:firstLineChars="200"/>
    </w:pPr>
    <w:rPr>
      <w:rFonts w:eastAsia="宋体" w:cs="宋体"/>
      <w:color w:val="auto"/>
      <w:sz w:val="24"/>
      <w:szCs w:val="20"/>
    </w:rPr>
  </w:style>
  <w:style w:type="character" w:customStyle="1" w:styleId="92">
    <w:name w:val="表文 Char"/>
    <w:link w:val="93"/>
    <w:qFormat/>
    <w:locked/>
    <w:uiPriority w:val="0"/>
    <w:rPr>
      <w:position w:val="-24"/>
      <w:sz w:val="24"/>
      <w:szCs w:val="21"/>
    </w:rPr>
  </w:style>
  <w:style w:type="paragraph" w:customStyle="1" w:styleId="93">
    <w:name w:val="表文"/>
    <w:basedOn w:val="1"/>
    <w:link w:val="92"/>
    <w:qFormat/>
    <w:uiPriority w:val="0"/>
    <w:pPr>
      <w:tabs>
        <w:tab w:val="left" w:pos="1021"/>
      </w:tabs>
      <w:spacing w:line="300" w:lineRule="auto"/>
    </w:pPr>
    <w:rPr>
      <w:kern w:val="0"/>
      <w:position w:val="-24"/>
      <w:sz w:val="24"/>
      <w:szCs w:val="21"/>
    </w:rPr>
  </w:style>
  <w:style w:type="character" w:customStyle="1" w:styleId="94">
    <w:name w:val="正文小四 Char"/>
    <w:link w:val="95"/>
    <w:qFormat/>
    <w:locked/>
    <w:uiPriority w:val="0"/>
    <w:rPr>
      <w:snapToGrid w:val="0"/>
      <w:sz w:val="24"/>
    </w:rPr>
  </w:style>
  <w:style w:type="paragraph" w:customStyle="1" w:styleId="95">
    <w:name w:val="正文小四"/>
    <w:basedOn w:val="1"/>
    <w:link w:val="94"/>
    <w:qFormat/>
    <w:uiPriority w:val="0"/>
    <w:pPr>
      <w:adjustRightInd w:val="0"/>
      <w:snapToGrid w:val="0"/>
      <w:spacing w:line="360" w:lineRule="auto"/>
      <w:ind w:firstLine="200" w:firstLineChars="200"/>
      <w:textAlignment w:val="baseline"/>
    </w:pPr>
    <w:rPr>
      <w:snapToGrid w:val="0"/>
      <w:kern w:val="0"/>
      <w:sz w:val="24"/>
      <w:szCs w:val="20"/>
    </w:rPr>
  </w:style>
  <w:style w:type="character" w:customStyle="1" w:styleId="96">
    <w:name w:val="纯文本 字符"/>
    <w:link w:val="14"/>
    <w:qFormat/>
    <w:uiPriority w:val="0"/>
    <w:rPr>
      <w:rFonts w:ascii="宋体" w:hAnsi="Courier New" w:cs="Courier New"/>
      <w:kern w:val="2"/>
      <w:sz w:val="21"/>
      <w:szCs w:val="21"/>
    </w:rPr>
  </w:style>
  <w:style w:type="character" w:customStyle="1" w:styleId="97">
    <w:name w:val="纯文本 字符1"/>
    <w:basedOn w:val="27"/>
    <w:qFormat/>
    <w:uiPriority w:val="0"/>
    <w:rPr>
      <w:rFonts w:hAnsi="Courier New" w:cs="Courier New" w:asciiTheme="minorEastAsia" w:eastAsiaTheme="minorEastAsia"/>
      <w:kern w:val="2"/>
      <w:sz w:val="21"/>
      <w:szCs w:val="24"/>
    </w:rPr>
  </w:style>
  <w:style w:type="paragraph" w:customStyle="1" w:styleId="98">
    <w:name w:val="Lux 正文"/>
    <w:basedOn w:val="1"/>
    <w:qFormat/>
    <w:uiPriority w:val="0"/>
    <w:pPr>
      <w:spacing w:before="80" w:after="80" w:line="500" w:lineRule="exact"/>
      <w:ind w:firstLine="200" w:firstLineChars="200"/>
    </w:pPr>
    <w:rPr>
      <w:kern w:val="0"/>
      <w:sz w:val="24"/>
      <w:szCs w:val="20"/>
    </w:rPr>
  </w:style>
  <w:style w:type="paragraph" w:customStyle="1" w:styleId="99">
    <w:name w:val="正文11"/>
    <w:basedOn w:val="1"/>
    <w:next w:val="1"/>
    <w:qFormat/>
    <w:uiPriority w:val="0"/>
    <w:pPr>
      <w:spacing w:line="360" w:lineRule="auto"/>
      <w:ind w:firstLine="200" w:firstLineChars="200"/>
    </w:pPr>
    <w:rPr>
      <w:kern w:val="0"/>
      <w:sz w:val="24"/>
      <w:szCs w:val="18"/>
    </w:rPr>
  </w:style>
  <w:style w:type="paragraph" w:customStyle="1" w:styleId="100">
    <w:name w:val="报告表表格"/>
    <w:basedOn w:val="1"/>
    <w:qFormat/>
    <w:uiPriority w:val="0"/>
    <w:pPr>
      <w:jc w:val="center"/>
    </w:pPr>
    <w:rPr>
      <w:rFonts w:cs="宋体"/>
    </w:rPr>
  </w:style>
  <w:style w:type="paragraph" w:customStyle="1" w:styleId="101">
    <w:name w:val="1"/>
    <w:basedOn w:val="1"/>
    <w:qFormat/>
    <w:uiPriority w:val="0"/>
    <w:pPr>
      <w:adjustRightInd w:val="0"/>
      <w:snapToGrid w:val="0"/>
      <w:jc w:val="center"/>
    </w:pPr>
    <w:rPr>
      <w:rFonts w:hint="eastAsia" w:cs="宋体"/>
      <w:kern w:val="18"/>
    </w:rPr>
  </w:style>
  <w:style w:type="paragraph" w:customStyle="1" w:styleId="102">
    <w:name w:val="正本文字"/>
    <w:basedOn w:val="1"/>
    <w:qFormat/>
    <w:uiPriority w:val="0"/>
    <w:pPr>
      <w:adjustRightInd w:val="0"/>
      <w:snapToGrid w:val="0"/>
      <w:spacing w:line="360" w:lineRule="auto"/>
      <w:ind w:firstLine="200" w:firstLineChars="200"/>
      <w:jc w:val="left"/>
    </w:pPr>
    <w:rPr>
      <w:rFonts w:cs="宋体"/>
      <w:kern w:val="18"/>
      <w:sz w:val="24"/>
    </w:rPr>
  </w:style>
  <w:style w:type="paragraph" w:customStyle="1" w:styleId="103">
    <w:name w:val="正文文本 21"/>
    <w:basedOn w:val="1"/>
    <w:qFormat/>
    <w:uiPriority w:val="0"/>
    <w:pPr>
      <w:adjustRightInd w:val="0"/>
      <w:snapToGrid w:val="0"/>
      <w:spacing w:line="360" w:lineRule="auto"/>
      <w:ind w:firstLine="720" w:firstLineChars="200"/>
      <w:jc w:val="left"/>
    </w:pPr>
    <w:rPr>
      <w:sz w:val="24"/>
    </w:rPr>
  </w:style>
  <w:style w:type="table" w:customStyle="1" w:styleId="104">
    <w:name w:val="标准表格"/>
    <w:basedOn w:val="25"/>
    <w:qFormat/>
    <w:uiPriority w:val="99"/>
    <w:pPr>
      <w:spacing w:before="74"/>
      <w:jc w:val="center"/>
    </w:pPr>
    <w:rPr>
      <w:sz w:val="18"/>
    </w:rPr>
    <w:tblPr>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rPr>
      <w:jc w:val="center"/>
    </w:trPr>
    <w:tcPr>
      <w:shd w:val="clear" w:color="auto" w:fill="FFFFFF"/>
      <w:vAlign w:val="center"/>
    </w:tcPr>
    <w:tblStylePr w:type="firstRow">
      <w:pPr>
        <w:wordWrap/>
        <w:spacing w:before="0" w:beforeLines="0" w:beforeAutospacing="0" w:after="0" w:afterLines="0" w:afterAutospacing="0" w:line="240" w:lineRule="auto"/>
        <w:ind w:left="0" w:leftChars="0" w:right="0" w:rightChars="0" w:firstLine="0" w:firstLineChars="0"/>
        <w:jc w:val="center"/>
      </w:pPr>
      <w:rPr>
        <w:rFonts w:eastAsia="Arial"/>
        <w:sz w:val="18"/>
      </w:rPr>
      <w:tblPr>
        <w:tblLayout w:type="fixed"/>
      </w:tblPr>
      <w:trPr>
        <w:tblHeader/>
      </w:trPr>
    </w:tblStylePr>
    <w:tblStylePr w:type="firstCol">
      <w:pPr>
        <w:jc w:val="center"/>
      </w:pPr>
    </w:tblStylePr>
  </w:style>
  <w:style w:type="paragraph" w:styleId="10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package" Target="embeddings/Microsoft_Visio___1.vsdx"/><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5" Type="http://schemas.openxmlformats.org/officeDocument/2006/relationships/fontTable" Target="fontTable.xml"/><Relationship Id="rId34" Type="http://schemas.openxmlformats.org/officeDocument/2006/relationships/customXml" Target="../customXml/item2.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image" Target="media/image22.png"/><Relationship Id="rId30" Type="http://schemas.openxmlformats.org/officeDocument/2006/relationships/image" Target="media/image21.png"/><Relationship Id="rId3" Type="http://schemas.openxmlformats.org/officeDocument/2006/relationships/footer" Target="footer1.xml"/><Relationship Id="rId29" Type="http://schemas.openxmlformats.org/officeDocument/2006/relationships/image" Target="media/image20.jpeg"/><Relationship Id="rId28" Type="http://schemas.openxmlformats.org/officeDocument/2006/relationships/image" Target="media/image19.jpeg"/><Relationship Id="rId27" Type="http://schemas.openxmlformats.org/officeDocument/2006/relationships/image" Target="media/image18.jpeg"/><Relationship Id="rId26" Type="http://schemas.openxmlformats.org/officeDocument/2006/relationships/image" Target="media/image17.jpeg"/><Relationship Id="rId25" Type="http://schemas.openxmlformats.org/officeDocument/2006/relationships/image" Target="media/image16.wmf"/><Relationship Id="rId24" Type="http://schemas.openxmlformats.org/officeDocument/2006/relationships/image" Target="media/image15.wmf"/><Relationship Id="rId23" Type="http://schemas.openxmlformats.org/officeDocument/2006/relationships/image" Target="media/image14.wmf"/><Relationship Id="rId22" Type="http://schemas.openxmlformats.org/officeDocument/2006/relationships/image" Target="media/image13.wmf"/><Relationship Id="rId21" Type="http://schemas.openxmlformats.org/officeDocument/2006/relationships/image" Target="media/image12.wmf"/><Relationship Id="rId20" Type="http://schemas.openxmlformats.org/officeDocument/2006/relationships/image" Target="media/image11.wmf"/><Relationship Id="rId2" Type="http://schemas.openxmlformats.org/officeDocument/2006/relationships/settings" Target="settings.xml"/><Relationship Id="rId19" Type="http://schemas.openxmlformats.org/officeDocument/2006/relationships/image" Target="media/image10.wmf"/><Relationship Id="rId18" Type="http://schemas.openxmlformats.org/officeDocument/2006/relationships/image" Target="media/image9.wmf"/><Relationship Id="rId17" Type="http://schemas.openxmlformats.org/officeDocument/2006/relationships/image" Target="media/image8.wmf"/><Relationship Id="rId16" Type="http://schemas.openxmlformats.org/officeDocument/2006/relationships/image" Target="media/image7.wmf"/><Relationship Id="rId15" Type="http://schemas.openxmlformats.org/officeDocument/2006/relationships/image" Target="media/image6.wmf"/><Relationship Id="rId14" Type="http://schemas.openxmlformats.org/officeDocument/2006/relationships/image" Target="media/image5.wmf"/><Relationship Id="rId13" Type="http://schemas.openxmlformats.org/officeDocument/2006/relationships/image" Target="media/image4.wmf"/><Relationship Id="rId12" Type="http://schemas.openxmlformats.org/officeDocument/2006/relationships/oleObject" Target="embeddings/oleObject1.bin"/><Relationship Id="rId11" Type="http://schemas.openxmlformats.org/officeDocument/2006/relationships/image" Target="media/image3.emf"/><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A3D957-D297-4C83-B7F8-817E3661A05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50</Pages>
  <Words>5146</Words>
  <Characters>29335</Characters>
  <Lines>244</Lines>
  <Paragraphs>68</Paragraphs>
  <TotalTime>78</TotalTime>
  <ScaleCrop>false</ScaleCrop>
  <LinksUpToDate>false</LinksUpToDate>
  <CharactersWithSpaces>34413</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2021-07-05T03:01:00Z</dcterms:created>
  <dc:creator>lhj</dc:creator>
  <cp:lastModifiedBy>Administrator</cp:lastModifiedBy>
  <cp:lastPrinted>2021-11-08T02:16:00Z</cp:lastPrinted>
  <dcterms:modified xsi:type="dcterms:W3CDTF">2022-01-12T07:45:45Z</dcterms:modified>
  <dc:title>附件2</dc:title>
  <cp:revision>1088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4C3ACB3C15D8412E837D26DA15DF709E</vt:lpwstr>
  </property>
</Properties>
</file>