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注   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建筑密度：指在一定范围内，建筑物的基底面积总和与占用地面积的比例(%)。比如一块地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为200平方米，其中建筑底层面积100平方米，这块用地的建筑密度就是100/200=50%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容积率：一个小区的地上总建筑面积与净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instrText xml:space="preserve"> HYPERLINK "https://baike.baidu.com/item/%E7%94%A8%E5%9C%B0%E9%9D%A2%E7%A7%AF/10656905" \t "https://baike.baidu.com/item/_blank" </w:instrTex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用地面积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的比率。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比如一块地为200平方米，地上建筑面积为400平方米，容积率为400/200=2.0；（为便于管理的简易计算方法）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“只减不增、现状管理”：即按照房屋现状进行管理，可以进行加固修缮，若拆除则不能进行重新建设；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超占：指超出土地证范围进行建设的行为，含悬挑、出檐、滴水等；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超建：指超过审批面积进行建设、加层等；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违法建筑处置牵头部门：指本规定第十条各款牵头部门。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0"/>
                        <w:szCs w:val="30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OGE0YjI3MzQzYjNkMjdhZDE5ZTY3ZDZlYjFmZDgifQ=="/>
  </w:docVars>
  <w:rsids>
    <w:rsidRoot w:val="70A50A5A"/>
    <w:rsid w:val="1A8302F7"/>
    <w:rsid w:val="36342508"/>
    <w:rsid w:val="70A5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265</Words>
  <Characters>295</Characters>
  <Lines>0</Lines>
  <Paragraphs>0</Paragraphs>
  <TotalTime>0</TotalTime>
  <ScaleCrop>false</ScaleCrop>
  <LinksUpToDate>false</LinksUpToDate>
  <CharactersWithSpaces>299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2022-03-22T00:53:00Z</dcterms:created>
  <dc:creator>秀秀</dc:creator>
  <cp:lastModifiedBy>秀秀</cp:lastModifiedBy>
  <cp:lastPrinted>2022-04-19T00:27:00Z</cp:lastPrinted>
  <dcterms:modified xsi:type="dcterms:W3CDTF">2022-05-13T08:06:24Z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2EDE4A00166C45C2976B1FC9EAEC8FA7</vt:lpwstr>
  </property>
</Properties>
</file>